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D01B1" w14:textId="77777777" w:rsidR="002A1A1E" w:rsidRDefault="003C6EE8" w:rsidP="002A1A1E">
      <w:pPr>
        <w:jc w:val="center"/>
        <w:rPr>
          <w:rFonts w:ascii="Arial" w:hAnsi="Arial" w:cs="Arial"/>
          <w:b/>
          <w:bCs/>
        </w:rPr>
      </w:pPr>
      <w:r w:rsidRPr="00DB3478">
        <w:rPr>
          <w:rFonts w:ascii="Arial" w:hAnsi="Arial" w:cs="Arial"/>
          <w:b/>
          <w:bCs/>
        </w:rPr>
        <w:t xml:space="preserve">INFORME </w:t>
      </w:r>
      <w:r w:rsidR="00936B19">
        <w:rPr>
          <w:rFonts w:ascii="Arial" w:hAnsi="Arial" w:cs="Arial"/>
          <w:b/>
          <w:bCs/>
        </w:rPr>
        <w:t>DE</w:t>
      </w:r>
      <w:r w:rsidRPr="00DB3478">
        <w:rPr>
          <w:rFonts w:ascii="Arial" w:hAnsi="Arial" w:cs="Arial"/>
          <w:b/>
          <w:bCs/>
        </w:rPr>
        <w:t xml:space="preserve"> GESTIÓN </w:t>
      </w:r>
      <w:r w:rsidR="00936B19">
        <w:rPr>
          <w:rFonts w:ascii="Arial" w:hAnsi="Arial" w:cs="Arial"/>
          <w:b/>
          <w:bCs/>
        </w:rPr>
        <w:t xml:space="preserve">DEL </w:t>
      </w:r>
      <w:r w:rsidRPr="00DB3478">
        <w:rPr>
          <w:rFonts w:ascii="Arial" w:hAnsi="Arial" w:cs="Arial"/>
          <w:b/>
          <w:bCs/>
        </w:rPr>
        <w:t xml:space="preserve">COMITÉ DE CONCILIACIÓN </w:t>
      </w:r>
    </w:p>
    <w:p w14:paraId="51811CC2" w14:textId="555227C8" w:rsidR="00936B19" w:rsidRPr="002A1A1E" w:rsidRDefault="00936B19" w:rsidP="002A1A1E">
      <w:pPr>
        <w:jc w:val="center"/>
        <w:rPr>
          <w:rFonts w:ascii="Arial" w:hAnsi="Arial" w:cs="Arial"/>
          <w:b/>
          <w:bCs/>
        </w:rPr>
      </w:pPr>
      <w:r w:rsidRPr="002A1A1E">
        <w:rPr>
          <w:rFonts w:ascii="Arial" w:hAnsi="Arial" w:cs="Arial"/>
          <w:b/>
          <w:bCs/>
        </w:rPr>
        <w:t xml:space="preserve">I SEMESTRE DE 2026 </w:t>
      </w:r>
    </w:p>
    <w:p w14:paraId="2D85B998" w14:textId="77777777" w:rsidR="00936B19" w:rsidRDefault="00936B19" w:rsidP="003C6EE8">
      <w:pPr>
        <w:jc w:val="both"/>
        <w:rPr>
          <w:rFonts w:ascii="Arial" w:hAnsi="Arial" w:cs="Arial"/>
          <w:b/>
          <w:bCs/>
        </w:rPr>
      </w:pPr>
    </w:p>
    <w:p w14:paraId="3220BD68" w14:textId="30079256" w:rsidR="003C6EE8" w:rsidRPr="00DB3478" w:rsidRDefault="003C6EE8" w:rsidP="003C6EE8">
      <w:pPr>
        <w:jc w:val="both"/>
        <w:rPr>
          <w:rFonts w:ascii="Arial" w:hAnsi="Arial" w:cs="Arial"/>
        </w:rPr>
      </w:pPr>
      <w:r w:rsidRPr="00DB3478">
        <w:rPr>
          <w:rFonts w:ascii="Arial" w:hAnsi="Arial" w:cs="Arial"/>
        </w:rPr>
        <w:t>El presente informe expone la gestión integral desarrollada por el Comité de Conciliación del Senado de la República durante el periodo objeto de evaluación. De conformidad con lo establecido en el artículo 115 de la Ley 2220 de 2022 (Estatuto de Conciliación) y en estricto cumplimiento de la Resolución No. 1562 del 9 de diciembre de 2024, este Comité se consolida como una instancia administrativa de carácter obligatorio, encargada de formular las políticas institucionales de prevención del daño antijurídico y de asumir la defensa rigurosa de los intereses públicos y patrimoniales de la corporación.</w:t>
      </w:r>
    </w:p>
    <w:p w14:paraId="2D0F1A58" w14:textId="77777777" w:rsidR="003C6EE8" w:rsidRPr="00DB3478" w:rsidRDefault="003C6EE8" w:rsidP="003C6EE8">
      <w:pPr>
        <w:jc w:val="both"/>
        <w:rPr>
          <w:rFonts w:ascii="Arial" w:hAnsi="Arial" w:cs="Arial"/>
        </w:rPr>
      </w:pPr>
      <w:r w:rsidRPr="0082599E">
        <w:rPr>
          <w:rFonts w:ascii="Arial" w:hAnsi="Arial" w:cs="Arial"/>
        </w:rPr>
        <w:t>Guiado por principios fundamentales como la legalidad, la moralidad, la eficacia, el patrimonio público y la seguridad jurídica, este órgano no solo busca el reconocimiento efectivo de los derechos ciudadanos, sino que actúa como un escudo técnico y financiero para la institución.</w:t>
      </w:r>
    </w:p>
    <w:p w14:paraId="37727A76" w14:textId="77777777" w:rsidR="003C6EE8" w:rsidRPr="00DB3478" w:rsidRDefault="003C6EE8" w:rsidP="003C6EE8">
      <w:pPr>
        <w:pStyle w:val="Sinespaciado"/>
        <w:rPr>
          <w:rFonts w:ascii="Arial" w:hAnsi="Arial" w:cs="Arial"/>
        </w:rPr>
      </w:pPr>
      <w:r w:rsidRPr="00DB3478">
        <w:rPr>
          <w:rFonts w:ascii="Arial" w:hAnsi="Arial" w:cs="Arial"/>
        </w:rPr>
        <w:t xml:space="preserve"> </w:t>
      </w:r>
    </w:p>
    <w:p w14:paraId="3DD0C833" w14:textId="32605F35" w:rsidR="003C6EE8" w:rsidRPr="00344166" w:rsidRDefault="003C6EE8" w:rsidP="00344166">
      <w:pPr>
        <w:pStyle w:val="Prrafodelista"/>
        <w:numPr>
          <w:ilvl w:val="1"/>
          <w:numId w:val="35"/>
        </w:numPr>
        <w:spacing w:line="278" w:lineRule="auto"/>
        <w:rPr>
          <w:rFonts w:ascii="Arial" w:hAnsi="Arial" w:cs="Arial"/>
          <w:b/>
          <w:bCs/>
        </w:rPr>
      </w:pPr>
      <w:r w:rsidRPr="00344166">
        <w:rPr>
          <w:rFonts w:ascii="Arial" w:hAnsi="Arial" w:cs="Arial"/>
          <w:b/>
          <w:bCs/>
        </w:rPr>
        <w:t>¿QUÉ HACE EL COMITÉ POR LA ENTIDAD?</w:t>
      </w:r>
    </w:p>
    <w:p w14:paraId="0D9D235F" w14:textId="77777777" w:rsidR="003C6EE8" w:rsidRPr="00DB3478" w:rsidRDefault="003C6EE8" w:rsidP="003C6EE8">
      <w:pPr>
        <w:pStyle w:val="Sinespaciado"/>
        <w:rPr>
          <w:rFonts w:ascii="Arial" w:hAnsi="Arial" w:cs="Arial"/>
        </w:rPr>
      </w:pPr>
    </w:p>
    <w:p w14:paraId="6062BAFE" w14:textId="119B8F7F" w:rsidR="003C6EE8" w:rsidRPr="00DB3478" w:rsidRDefault="003C6EE8" w:rsidP="00201CC3">
      <w:pPr>
        <w:pStyle w:val="Prrafodelista"/>
        <w:numPr>
          <w:ilvl w:val="1"/>
          <w:numId w:val="42"/>
        </w:numPr>
        <w:spacing w:line="278" w:lineRule="auto"/>
        <w:jc w:val="both"/>
        <w:rPr>
          <w:rFonts w:ascii="Arial" w:hAnsi="Arial" w:cs="Arial"/>
        </w:rPr>
      </w:pPr>
      <w:r w:rsidRPr="00DB3478">
        <w:rPr>
          <w:rFonts w:ascii="Arial" w:hAnsi="Arial" w:cs="Arial"/>
          <w:b/>
          <w:bCs/>
        </w:rPr>
        <w:t xml:space="preserve">Mitigación del </w:t>
      </w:r>
      <w:r w:rsidR="00344166" w:rsidRPr="00DB3478">
        <w:rPr>
          <w:rFonts w:ascii="Arial" w:hAnsi="Arial" w:cs="Arial"/>
          <w:b/>
          <w:bCs/>
        </w:rPr>
        <w:t>riesgo legal:</w:t>
      </w:r>
      <w:r w:rsidR="00344166" w:rsidRPr="00DB3478">
        <w:rPr>
          <w:rFonts w:ascii="Arial" w:hAnsi="Arial" w:cs="Arial"/>
        </w:rPr>
        <w:t xml:space="preserve"> </w:t>
      </w:r>
      <w:r w:rsidRPr="00DB3478">
        <w:rPr>
          <w:rFonts w:ascii="Arial" w:hAnsi="Arial" w:cs="Arial"/>
        </w:rPr>
        <w:t xml:space="preserve">Diseña, aprueba y supervisa las Políticas de Prevención del Daño Antijurídico para corregir las fallas administrativas internas, reduciendo de forma directa la reincidencia en demandas en contra del Senado. </w:t>
      </w:r>
    </w:p>
    <w:p w14:paraId="46AC870D" w14:textId="2F583C49" w:rsidR="003C6EE8" w:rsidRPr="00DB3478" w:rsidRDefault="003C6EE8" w:rsidP="00201CC3">
      <w:pPr>
        <w:pStyle w:val="Prrafodelista"/>
        <w:numPr>
          <w:ilvl w:val="1"/>
          <w:numId w:val="42"/>
        </w:numPr>
        <w:spacing w:line="278" w:lineRule="auto"/>
        <w:jc w:val="both"/>
        <w:rPr>
          <w:rFonts w:ascii="Arial" w:hAnsi="Arial" w:cs="Arial"/>
        </w:rPr>
      </w:pPr>
      <w:r w:rsidRPr="00DB3478">
        <w:rPr>
          <w:rFonts w:ascii="Arial" w:hAnsi="Arial" w:cs="Arial"/>
          <w:b/>
          <w:bCs/>
        </w:rPr>
        <w:t xml:space="preserve">Protección del </w:t>
      </w:r>
      <w:r w:rsidR="00344166" w:rsidRPr="00DB3478">
        <w:rPr>
          <w:rFonts w:ascii="Arial" w:hAnsi="Arial" w:cs="Arial"/>
          <w:b/>
          <w:bCs/>
        </w:rPr>
        <w:t>patrimonio público:</w:t>
      </w:r>
      <w:r w:rsidR="00344166" w:rsidRPr="00DB3478">
        <w:rPr>
          <w:rFonts w:ascii="Arial" w:hAnsi="Arial" w:cs="Arial"/>
        </w:rPr>
        <w:t xml:space="preserve"> </w:t>
      </w:r>
      <w:r w:rsidRPr="00DB3478">
        <w:rPr>
          <w:rFonts w:ascii="Arial" w:hAnsi="Arial" w:cs="Arial"/>
        </w:rPr>
        <w:t>Decide con autonomía y fundamentación jurídica apoyándose en precedentes de las altas cortes y metodologías de la Agencia Nacional de Defensa Jurídica del Estado (como el sistema eKOGUI, sobre la procedencia o improcedencia de la conciliación y otros mecanismos de solución de conflictos, evitando así erogaciones económicas innecesarias o lesivas para el erario</w:t>
      </w:r>
      <w:r w:rsidR="00201CC3">
        <w:rPr>
          <w:rFonts w:ascii="Arial" w:hAnsi="Arial" w:cs="Arial"/>
        </w:rPr>
        <w:t xml:space="preserve"> público</w:t>
      </w:r>
      <w:r w:rsidRPr="00DB3478">
        <w:rPr>
          <w:rFonts w:ascii="Arial" w:hAnsi="Arial" w:cs="Arial"/>
        </w:rPr>
        <w:t xml:space="preserve">. </w:t>
      </w:r>
    </w:p>
    <w:p w14:paraId="63C5E353" w14:textId="79F6BE89" w:rsidR="003C6EE8" w:rsidRPr="00DB3478" w:rsidRDefault="003C6EE8" w:rsidP="00201CC3">
      <w:pPr>
        <w:pStyle w:val="Prrafodelista"/>
        <w:numPr>
          <w:ilvl w:val="1"/>
          <w:numId w:val="42"/>
        </w:numPr>
        <w:spacing w:line="278" w:lineRule="auto"/>
        <w:jc w:val="both"/>
        <w:rPr>
          <w:rFonts w:ascii="Arial" w:hAnsi="Arial" w:cs="Arial"/>
        </w:rPr>
      </w:pPr>
      <w:r w:rsidRPr="00DB3478">
        <w:rPr>
          <w:rFonts w:ascii="Arial" w:hAnsi="Arial" w:cs="Arial"/>
          <w:b/>
          <w:bCs/>
        </w:rPr>
        <w:t xml:space="preserve">Optimización de </w:t>
      </w:r>
      <w:r w:rsidR="00344166" w:rsidRPr="00DB3478">
        <w:rPr>
          <w:rFonts w:ascii="Arial" w:hAnsi="Arial" w:cs="Arial"/>
          <w:b/>
          <w:bCs/>
        </w:rPr>
        <w:t>la defensa judicial:</w:t>
      </w:r>
      <w:r w:rsidR="00344166" w:rsidRPr="00DB3478">
        <w:rPr>
          <w:rFonts w:ascii="Arial" w:hAnsi="Arial" w:cs="Arial"/>
        </w:rPr>
        <w:t xml:space="preserve"> </w:t>
      </w:r>
      <w:r w:rsidRPr="00DB3478">
        <w:rPr>
          <w:rFonts w:ascii="Arial" w:hAnsi="Arial" w:cs="Arial"/>
        </w:rPr>
        <w:t xml:space="preserve">Define directrices generales para orientar la defensa judicial y establece criterios de idoneidad y seguimiento técnico para los apoderados que representan a la institución. </w:t>
      </w:r>
    </w:p>
    <w:p w14:paraId="39AECCAE" w14:textId="0AF9B6A0" w:rsidR="003C6EE8" w:rsidRDefault="003C6EE8" w:rsidP="00201CC3">
      <w:pPr>
        <w:pStyle w:val="Prrafodelista"/>
        <w:numPr>
          <w:ilvl w:val="1"/>
          <w:numId w:val="42"/>
        </w:numPr>
        <w:spacing w:line="278" w:lineRule="auto"/>
        <w:jc w:val="both"/>
        <w:rPr>
          <w:rFonts w:ascii="Arial" w:hAnsi="Arial" w:cs="Arial"/>
        </w:rPr>
      </w:pPr>
      <w:r w:rsidRPr="00DB3478">
        <w:rPr>
          <w:rFonts w:ascii="Arial" w:hAnsi="Arial" w:cs="Arial"/>
          <w:b/>
          <w:bCs/>
        </w:rPr>
        <w:t xml:space="preserve">Control </w:t>
      </w:r>
      <w:r w:rsidR="00344166" w:rsidRPr="00DB3478">
        <w:rPr>
          <w:rFonts w:ascii="Arial" w:hAnsi="Arial" w:cs="Arial"/>
          <w:b/>
          <w:bCs/>
        </w:rPr>
        <w:t>de repetición:</w:t>
      </w:r>
      <w:r w:rsidR="00344166" w:rsidRPr="00DB3478">
        <w:rPr>
          <w:rFonts w:ascii="Arial" w:hAnsi="Arial" w:cs="Arial"/>
        </w:rPr>
        <w:t xml:space="preserve"> </w:t>
      </w:r>
      <w:r w:rsidRPr="00DB3478">
        <w:rPr>
          <w:rFonts w:ascii="Arial" w:hAnsi="Arial" w:cs="Arial"/>
        </w:rPr>
        <w:t xml:space="preserve">Evalúa rigurosamente los procesos con fallos condenatorios para determinar la procedencia de llamamientos en garantía o el inicio de acciones de repetición contra los funcionarios responsables del daño, garantizando la transparencia institucional y la recuperación de recursos. </w:t>
      </w:r>
    </w:p>
    <w:p w14:paraId="01EF0DC6" w14:textId="77777777" w:rsidR="003C6EE8" w:rsidRDefault="003C6EE8" w:rsidP="003C6EE8">
      <w:pPr>
        <w:pStyle w:val="Prrafodelista"/>
        <w:jc w:val="both"/>
        <w:rPr>
          <w:rFonts w:ascii="Arial" w:hAnsi="Arial" w:cs="Arial"/>
          <w:b/>
          <w:bCs/>
        </w:rPr>
      </w:pPr>
    </w:p>
    <w:p w14:paraId="79385031" w14:textId="4ED7F182" w:rsidR="003C6EE8" w:rsidRPr="00344166" w:rsidRDefault="003C6EE8" w:rsidP="00344166">
      <w:pPr>
        <w:pStyle w:val="Prrafodelista"/>
        <w:numPr>
          <w:ilvl w:val="1"/>
          <w:numId w:val="35"/>
        </w:numPr>
        <w:spacing w:line="278" w:lineRule="auto"/>
        <w:rPr>
          <w:rFonts w:ascii="Arial" w:hAnsi="Arial" w:cs="Arial"/>
          <w:b/>
          <w:bCs/>
        </w:rPr>
      </w:pPr>
      <w:r w:rsidRPr="00344166">
        <w:rPr>
          <w:rFonts w:ascii="Arial" w:hAnsi="Arial" w:cs="Arial"/>
          <w:b/>
          <w:bCs/>
        </w:rPr>
        <w:t>¿CÓMO LO HACE?</w:t>
      </w:r>
    </w:p>
    <w:p w14:paraId="006964A3" w14:textId="77777777" w:rsidR="003C6EE8" w:rsidRDefault="003C6EE8" w:rsidP="003C6EE8">
      <w:pPr>
        <w:jc w:val="both"/>
        <w:rPr>
          <w:rFonts w:ascii="Arial" w:hAnsi="Arial" w:cs="Arial"/>
        </w:rPr>
      </w:pPr>
      <w:r w:rsidRPr="00DB3478">
        <w:rPr>
          <w:rFonts w:ascii="Arial" w:hAnsi="Arial" w:cs="Arial"/>
        </w:rPr>
        <w:t>Para el cumplimiento de sus objetivos misionales, el Comité de Conciliación del Senado de la República desarrolla una gestión técnica basada en el análisis sistemático de cada solicitud, el debate colegiado y la toma de decisiones fundamentadas bajo el marco legal vigente.</w:t>
      </w:r>
    </w:p>
    <w:p w14:paraId="66466601" w14:textId="0E019C46" w:rsidR="003C6EE8" w:rsidRDefault="003C6EE8" w:rsidP="003C6EE8">
      <w:pPr>
        <w:jc w:val="both"/>
        <w:rPr>
          <w:rFonts w:ascii="Arial" w:hAnsi="Arial" w:cs="Arial"/>
        </w:rPr>
      </w:pPr>
      <w:r w:rsidRPr="00DB3478">
        <w:rPr>
          <w:rFonts w:ascii="Arial" w:hAnsi="Arial" w:cs="Arial"/>
        </w:rPr>
        <w:t xml:space="preserve">A continuación, se detalla la actividad operativa del Comité durante el </w:t>
      </w:r>
      <w:r w:rsidR="00936B19">
        <w:rPr>
          <w:rFonts w:ascii="Arial" w:hAnsi="Arial" w:cs="Arial"/>
        </w:rPr>
        <w:t>I semestre de 2026</w:t>
      </w:r>
      <w:r w:rsidRPr="00DB3478">
        <w:rPr>
          <w:rFonts w:ascii="Arial" w:hAnsi="Arial" w:cs="Arial"/>
        </w:rPr>
        <w:t>:</w:t>
      </w:r>
    </w:p>
    <w:p w14:paraId="35C41553" w14:textId="0A96CF6A" w:rsidR="003C6EE8" w:rsidRPr="00344166" w:rsidRDefault="003C6EE8" w:rsidP="00344166">
      <w:pPr>
        <w:pStyle w:val="Prrafodelista"/>
        <w:numPr>
          <w:ilvl w:val="2"/>
          <w:numId w:val="35"/>
        </w:numPr>
        <w:jc w:val="both"/>
        <w:rPr>
          <w:rFonts w:ascii="Arial" w:hAnsi="Arial" w:cs="Arial"/>
          <w:b/>
          <w:bCs/>
        </w:rPr>
      </w:pPr>
      <w:r w:rsidRPr="00344166">
        <w:rPr>
          <w:rFonts w:ascii="Arial" w:hAnsi="Arial" w:cs="Arial"/>
          <w:b/>
          <w:bCs/>
        </w:rPr>
        <w:t xml:space="preserve">Actividad </w:t>
      </w:r>
      <w:r w:rsidR="00201CC3">
        <w:rPr>
          <w:rFonts w:ascii="Arial" w:hAnsi="Arial" w:cs="Arial"/>
          <w:b/>
          <w:bCs/>
        </w:rPr>
        <w:t>s</w:t>
      </w:r>
      <w:r w:rsidRPr="00344166">
        <w:rPr>
          <w:rFonts w:ascii="Arial" w:hAnsi="Arial" w:cs="Arial"/>
          <w:b/>
          <w:bCs/>
        </w:rPr>
        <w:t>esionaria</w:t>
      </w:r>
    </w:p>
    <w:p w14:paraId="3E72D4AA" w14:textId="569FCD07" w:rsidR="003C6EE8" w:rsidRDefault="003C6EE8" w:rsidP="003C6EE8">
      <w:pPr>
        <w:jc w:val="both"/>
        <w:rPr>
          <w:rFonts w:ascii="Arial" w:hAnsi="Arial" w:cs="Arial"/>
        </w:rPr>
      </w:pPr>
      <w:r>
        <w:rPr>
          <w:rFonts w:ascii="Arial" w:hAnsi="Arial" w:cs="Arial"/>
        </w:rPr>
        <w:t>D</w:t>
      </w:r>
      <w:r w:rsidRPr="00DB3478">
        <w:rPr>
          <w:rFonts w:ascii="Arial" w:hAnsi="Arial" w:cs="Arial"/>
        </w:rPr>
        <w:t xml:space="preserve">e conformidad con lo dispuesto en el régimen interno, el Comité se reúne de forma ordinaria </w:t>
      </w:r>
      <w:r>
        <w:rPr>
          <w:rFonts w:ascii="Arial" w:hAnsi="Arial" w:cs="Arial"/>
        </w:rPr>
        <w:t>dos</w:t>
      </w:r>
      <w:r w:rsidRPr="00DB3478">
        <w:rPr>
          <w:rFonts w:ascii="Arial" w:hAnsi="Arial" w:cs="Arial"/>
        </w:rPr>
        <w:t xml:space="preserve"> ve</w:t>
      </w:r>
      <w:r>
        <w:rPr>
          <w:rFonts w:ascii="Arial" w:hAnsi="Arial" w:cs="Arial"/>
        </w:rPr>
        <w:t>ces</w:t>
      </w:r>
      <w:r w:rsidRPr="00DB3478">
        <w:rPr>
          <w:rFonts w:ascii="Arial" w:hAnsi="Arial" w:cs="Arial"/>
        </w:rPr>
        <w:t xml:space="preserve"> al mes y extraordinariamente cuando las necesidades o la urgencia de los términos legales así lo requieran.</w:t>
      </w:r>
    </w:p>
    <w:p w14:paraId="56554A7C" w14:textId="798446EC" w:rsidR="003C6EE8" w:rsidRPr="00DB3478" w:rsidRDefault="003C6EE8" w:rsidP="003C6EE8">
      <w:pPr>
        <w:jc w:val="both"/>
        <w:rPr>
          <w:rFonts w:ascii="Arial" w:hAnsi="Arial" w:cs="Arial"/>
        </w:rPr>
      </w:pPr>
      <w:proofErr w:type="gramStart"/>
      <w:r w:rsidRPr="00DB3478">
        <w:rPr>
          <w:rFonts w:ascii="Arial" w:hAnsi="Arial" w:cs="Arial"/>
          <w:b/>
          <w:bCs/>
        </w:rPr>
        <w:t>Total</w:t>
      </w:r>
      <w:proofErr w:type="gramEnd"/>
      <w:r w:rsidRPr="00DB3478">
        <w:rPr>
          <w:rFonts w:ascii="Arial" w:hAnsi="Arial" w:cs="Arial"/>
          <w:b/>
          <w:bCs/>
        </w:rPr>
        <w:t xml:space="preserve"> de sesiones realizadas:</w:t>
      </w:r>
      <w:r w:rsidRPr="00DB3478">
        <w:rPr>
          <w:rFonts w:ascii="Arial" w:hAnsi="Arial" w:cs="Arial"/>
        </w:rPr>
        <w:t xml:space="preserve"> </w:t>
      </w:r>
      <w:r w:rsidR="00201CC3">
        <w:rPr>
          <w:rFonts w:ascii="Arial" w:hAnsi="Arial" w:cs="Arial"/>
        </w:rPr>
        <w:t>1</w:t>
      </w:r>
      <w:r w:rsidR="00936B19">
        <w:rPr>
          <w:rFonts w:ascii="Arial" w:hAnsi="Arial" w:cs="Arial"/>
        </w:rPr>
        <w:t>1</w:t>
      </w:r>
      <w:r w:rsidRPr="00DB3478">
        <w:rPr>
          <w:rFonts w:ascii="Arial" w:hAnsi="Arial" w:cs="Arial"/>
        </w:rPr>
        <w:t xml:space="preserve"> sesiones.</w:t>
      </w:r>
    </w:p>
    <w:p w14:paraId="211750E3" w14:textId="65663179" w:rsidR="003C6EE8" w:rsidRPr="00DB3478" w:rsidRDefault="003C6EE8" w:rsidP="003C6EE8">
      <w:pPr>
        <w:numPr>
          <w:ilvl w:val="0"/>
          <w:numId w:val="15"/>
        </w:numPr>
        <w:spacing w:line="278" w:lineRule="auto"/>
        <w:jc w:val="both"/>
        <w:rPr>
          <w:rFonts w:ascii="Arial" w:hAnsi="Arial" w:cs="Arial"/>
        </w:rPr>
      </w:pPr>
      <w:r w:rsidRPr="00DB3478">
        <w:rPr>
          <w:rFonts w:ascii="Arial" w:hAnsi="Arial" w:cs="Arial"/>
          <w:b/>
          <w:bCs/>
        </w:rPr>
        <w:t>Sesiones Ordinarias:</w:t>
      </w:r>
      <w:r w:rsidRPr="00DB3478">
        <w:rPr>
          <w:rFonts w:ascii="Arial" w:hAnsi="Arial" w:cs="Arial"/>
        </w:rPr>
        <w:t xml:space="preserve"> </w:t>
      </w:r>
      <w:r w:rsidR="00201CC3">
        <w:rPr>
          <w:rFonts w:ascii="Arial" w:hAnsi="Arial" w:cs="Arial"/>
        </w:rPr>
        <w:t>1</w:t>
      </w:r>
      <w:r w:rsidR="00936B19">
        <w:rPr>
          <w:rFonts w:ascii="Arial" w:hAnsi="Arial" w:cs="Arial"/>
        </w:rPr>
        <w:t>0</w:t>
      </w:r>
    </w:p>
    <w:p w14:paraId="1686E624" w14:textId="77777777" w:rsidR="003C6EE8" w:rsidRPr="00DB3478" w:rsidRDefault="003C6EE8" w:rsidP="003C6EE8">
      <w:pPr>
        <w:numPr>
          <w:ilvl w:val="0"/>
          <w:numId w:val="15"/>
        </w:numPr>
        <w:spacing w:line="278" w:lineRule="auto"/>
        <w:jc w:val="both"/>
        <w:rPr>
          <w:rFonts w:ascii="Arial" w:hAnsi="Arial" w:cs="Arial"/>
        </w:rPr>
      </w:pPr>
      <w:r w:rsidRPr="00DB3478">
        <w:rPr>
          <w:rFonts w:ascii="Arial" w:hAnsi="Arial" w:cs="Arial"/>
          <w:b/>
          <w:bCs/>
        </w:rPr>
        <w:t>Sesiones Extraordinarias:</w:t>
      </w:r>
      <w:r w:rsidRPr="00DB3478">
        <w:rPr>
          <w:rFonts w:ascii="Arial" w:hAnsi="Arial" w:cs="Arial"/>
        </w:rPr>
        <w:t xml:space="preserve"> </w:t>
      </w:r>
      <w:r>
        <w:rPr>
          <w:rFonts w:ascii="Arial" w:hAnsi="Arial" w:cs="Arial"/>
        </w:rPr>
        <w:t>1</w:t>
      </w:r>
    </w:p>
    <w:p w14:paraId="5037A61B" w14:textId="36F382DB" w:rsidR="003C6EE8" w:rsidRPr="00344166" w:rsidRDefault="003C6EE8" w:rsidP="00344166">
      <w:pPr>
        <w:pStyle w:val="Prrafodelista"/>
        <w:numPr>
          <w:ilvl w:val="2"/>
          <w:numId w:val="35"/>
        </w:numPr>
        <w:jc w:val="both"/>
        <w:rPr>
          <w:rFonts w:ascii="Arial" w:hAnsi="Arial" w:cs="Arial"/>
          <w:b/>
          <w:bCs/>
        </w:rPr>
      </w:pPr>
      <w:r w:rsidRPr="00344166">
        <w:rPr>
          <w:rFonts w:ascii="Arial" w:hAnsi="Arial" w:cs="Arial"/>
          <w:b/>
          <w:bCs/>
        </w:rPr>
        <w:lastRenderedPageBreak/>
        <w:t xml:space="preserve">Caracterización de las solicitudes </w:t>
      </w:r>
      <w:r w:rsidR="00344166">
        <w:rPr>
          <w:rFonts w:ascii="Arial" w:hAnsi="Arial" w:cs="Arial"/>
          <w:b/>
          <w:bCs/>
        </w:rPr>
        <w:t>analizadas</w:t>
      </w:r>
    </w:p>
    <w:p w14:paraId="01EC280A" w14:textId="140F9F4A" w:rsidR="003C6EE8" w:rsidRPr="00DB3478" w:rsidRDefault="003C6EE8" w:rsidP="00344166">
      <w:pPr>
        <w:jc w:val="both"/>
        <w:rPr>
          <w:rFonts w:ascii="Arial" w:hAnsi="Arial" w:cs="Arial"/>
        </w:rPr>
      </w:pPr>
      <w:r w:rsidRPr="00201CC3">
        <w:rPr>
          <w:rFonts w:ascii="Arial" w:hAnsi="Arial" w:cs="Arial"/>
        </w:rPr>
        <w:t xml:space="preserve">El Comité conoció y resolvió un total de </w:t>
      </w:r>
      <w:r w:rsidR="001C3942">
        <w:rPr>
          <w:rFonts w:ascii="Arial" w:hAnsi="Arial" w:cs="Arial"/>
        </w:rPr>
        <w:t>13</w:t>
      </w:r>
      <w:r w:rsidRPr="00201CC3">
        <w:rPr>
          <w:rFonts w:ascii="Arial" w:hAnsi="Arial" w:cs="Arial"/>
        </w:rPr>
        <w:t xml:space="preserve"> solicitudes</w:t>
      </w:r>
      <w:r w:rsidR="00344166" w:rsidRPr="00201CC3">
        <w:rPr>
          <w:rFonts w:ascii="Arial" w:hAnsi="Arial" w:cs="Arial"/>
        </w:rPr>
        <w:t xml:space="preserve"> para el periodo comprendido entre el </w:t>
      </w:r>
      <w:r w:rsidR="001C3942">
        <w:rPr>
          <w:rFonts w:ascii="Arial" w:hAnsi="Arial" w:cs="Arial"/>
        </w:rPr>
        <w:t>01</w:t>
      </w:r>
      <w:r w:rsidR="00344166" w:rsidRPr="00201CC3">
        <w:rPr>
          <w:rFonts w:ascii="Arial" w:hAnsi="Arial" w:cs="Arial"/>
        </w:rPr>
        <w:t xml:space="preserve"> de </w:t>
      </w:r>
      <w:r w:rsidR="001C3942">
        <w:rPr>
          <w:rFonts w:ascii="Arial" w:hAnsi="Arial" w:cs="Arial"/>
        </w:rPr>
        <w:t>enero</w:t>
      </w:r>
      <w:r w:rsidR="00344166" w:rsidRPr="00201CC3">
        <w:rPr>
          <w:rFonts w:ascii="Arial" w:hAnsi="Arial" w:cs="Arial"/>
        </w:rPr>
        <w:t xml:space="preserve"> de 202</w:t>
      </w:r>
      <w:r w:rsidR="001C3942">
        <w:rPr>
          <w:rFonts w:ascii="Arial" w:hAnsi="Arial" w:cs="Arial"/>
        </w:rPr>
        <w:t>6</w:t>
      </w:r>
      <w:r w:rsidR="00344166" w:rsidRPr="00201CC3">
        <w:rPr>
          <w:rFonts w:ascii="Arial" w:hAnsi="Arial" w:cs="Arial"/>
        </w:rPr>
        <w:t xml:space="preserve"> al </w:t>
      </w:r>
      <w:r w:rsidR="001C3942">
        <w:rPr>
          <w:rFonts w:ascii="Arial" w:hAnsi="Arial" w:cs="Arial"/>
        </w:rPr>
        <w:t>30</w:t>
      </w:r>
      <w:r w:rsidR="00344166" w:rsidRPr="00201CC3">
        <w:rPr>
          <w:rFonts w:ascii="Arial" w:hAnsi="Arial" w:cs="Arial"/>
        </w:rPr>
        <w:t xml:space="preserve"> de </w:t>
      </w:r>
      <w:r w:rsidR="001C3942">
        <w:rPr>
          <w:rFonts w:ascii="Arial" w:hAnsi="Arial" w:cs="Arial"/>
        </w:rPr>
        <w:t>junio</w:t>
      </w:r>
      <w:r w:rsidR="00344166" w:rsidRPr="00201CC3">
        <w:rPr>
          <w:rFonts w:ascii="Arial" w:hAnsi="Arial" w:cs="Arial"/>
        </w:rPr>
        <w:t xml:space="preserve"> de 2026</w:t>
      </w:r>
      <w:r w:rsidRPr="00201CC3">
        <w:rPr>
          <w:rFonts w:ascii="Arial" w:hAnsi="Arial" w:cs="Arial"/>
        </w:rPr>
        <w:t>. Para un análisis riguroso, estas se clasifican a continuación según la naturaleza del trámite, el medio de control judicial afectado y la subcausa que originó la controversia:</w:t>
      </w:r>
    </w:p>
    <w:p w14:paraId="5BC8AD05" w14:textId="05ADCA23" w:rsidR="003C6EE8" w:rsidRPr="00344166" w:rsidRDefault="003C6EE8" w:rsidP="00344166">
      <w:pPr>
        <w:pStyle w:val="Prrafodelista"/>
        <w:numPr>
          <w:ilvl w:val="0"/>
          <w:numId w:val="36"/>
        </w:numPr>
        <w:jc w:val="both"/>
        <w:rPr>
          <w:rFonts w:ascii="Arial" w:hAnsi="Arial" w:cs="Arial"/>
          <w:b/>
          <w:bCs/>
          <w:i/>
          <w:iCs/>
        </w:rPr>
      </w:pPr>
      <w:r w:rsidRPr="00344166">
        <w:rPr>
          <w:rFonts w:ascii="Arial" w:hAnsi="Arial" w:cs="Arial"/>
          <w:b/>
          <w:bCs/>
          <w:i/>
          <w:iCs/>
        </w:rPr>
        <w:t>Por Tipo de Solicitud</w:t>
      </w:r>
    </w:p>
    <w:p w14:paraId="3CA28B29" w14:textId="77777777" w:rsidR="003C6EE8" w:rsidRDefault="003C6EE8" w:rsidP="003C6EE8">
      <w:pPr>
        <w:jc w:val="both"/>
        <w:rPr>
          <w:rFonts w:ascii="Arial" w:hAnsi="Arial" w:cs="Arial"/>
        </w:rPr>
      </w:pPr>
      <w:r w:rsidRPr="00DB3478">
        <w:rPr>
          <w:rFonts w:ascii="Arial" w:hAnsi="Arial" w:cs="Arial"/>
        </w:rPr>
        <w:t>Las solicitudes analizadas por la instancia administrativa se distribuyeron de la siguiente manera:</w:t>
      </w:r>
    </w:p>
    <w:tbl>
      <w:tblPr>
        <w:tblStyle w:val="Tablaconcuadrcula2-nfasis2"/>
        <w:tblW w:w="0" w:type="auto"/>
        <w:tblLook w:val="04A0" w:firstRow="1" w:lastRow="0" w:firstColumn="1" w:lastColumn="0" w:noHBand="0" w:noVBand="1"/>
      </w:tblPr>
      <w:tblGrid>
        <w:gridCol w:w="2942"/>
        <w:gridCol w:w="2943"/>
        <w:gridCol w:w="2943"/>
      </w:tblGrid>
      <w:tr w:rsidR="003C6EE8" w:rsidRPr="00DB3478" w14:paraId="520CC9C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42C1756B" w14:textId="77777777" w:rsidR="003C6EE8" w:rsidRPr="008958C6" w:rsidRDefault="003C6EE8">
            <w:pPr>
              <w:jc w:val="center"/>
              <w:rPr>
                <w:rFonts w:ascii="Arial" w:hAnsi="Arial" w:cs="Arial"/>
                <w:sz w:val="22"/>
                <w:szCs w:val="22"/>
              </w:rPr>
            </w:pPr>
            <w:r w:rsidRPr="008958C6">
              <w:rPr>
                <w:rFonts w:ascii="Arial" w:hAnsi="Arial" w:cs="Arial"/>
                <w:sz w:val="22"/>
                <w:szCs w:val="22"/>
              </w:rPr>
              <w:t>Tipo de Trámite o Solicitud</w:t>
            </w:r>
          </w:p>
        </w:tc>
        <w:tc>
          <w:tcPr>
            <w:tcW w:w="2943" w:type="dxa"/>
          </w:tcPr>
          <w:p w14:paraId="12C25554" w14:textId="77777777" w:rsidR="003C6EE8" w:rsidRPr="008958C6" w:rsidRDefault="003C6EE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958C6">
              <w:rPr>
                <w:rFonts w:ascii="Arial" w:hAnsi="Arial" w:cs="Arial"/>
                <w:sz w:val="22"/>
                <w:szCs w:val="22"/>
              </w:rPr>
              <w:t>Número de Casos</w:t>
            </w:r>
          </w:p>
        </w:tc>
        <w:tc>
          <w:tcPr>
            <w:tcW w:w="2943" w:type="dxa"/>
          </w:tcPr>
          <w:p w14:paraId="4450279F" w14:textId="77777777" w:rsidR="003C6EE8" w:rsidRPr="008958C6" w:rsidRDefault="003C6EE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958C6">
              <w:rPr>
                <w:rFonts w:ascii="Arial" w:hAnsi="Arial" w:cs="Arial"/>
                <w:sz w:val="22"/>
                <w:szCs w:val="22"/>
              </w:rPr>
              <w:t>Sentido de la Decisión / Estado</w:t>
            </w:r>
          </w:p>
        </w:tc>
      </w:tr>
      <w:tr w:rsidR="003C6EE8" w:rsidRPr="00DB3478" w14:paraId="77D087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4FA53739" w14:textId="77777777" w:rsidR="003C6EE8" w:rsidRPr="00DB3478" w:rsidRDefault="003C6EE8">
            <w:pPr>
              <w:jc w:val="center"/>
              <w:rPr>
                <w:rFonts w:ascii="Arial" w:hAnsi="Arial" w:cs="Arial"/>
                <w:sz w:val="22"/>
                <w:szCs w:val="22"/>
              </w:rPr>
            </w:pPr>
            <w:r w:rsidRPr="00DB3478">
              <w:rPr>
                <w:rFonts w:ascii="Arial" w:hAnsi="Arial" w:cs="Arial"/>
                <w:sz w:val="22"/>
                <w:szCs w:val="22"/>
              </w:rPr>
              <w:t>Conciliaciones Extrajudiciales (</w:t>
            </w:r>
            <w:r>
              <w:rPr>
                <w:rFonts w:ascii="Arial" w:hAnsi="Arial" w:cs="Arial"/>
                <w:sz w:val="22"/>
                <w:szCs w:val="22"/>
              </w:rPr>
              <w:t>c</w:t>
            </w:r>
            <w:r w:rsidRPr="00DB3478">
              <w:rPr>
                <w:rFonts w:ascii="Arial" w:hAnsi="Arial" w:cs="Arial"/>
                <w:sz w:val="22"/>
                <w:szCs w:val="22"/>
              </w:rPr>
              <w:t>onvocatorias ante Procuraduría)</w:t>
            </w:r>
          </w:p>
        </w:tc>
        <w:tc>
          <w:tcPr>
            <w:tcW w:w="2943" w:type="dxa"/>
          </w:tcPr>
          <w:p w14:paraId="10446971" w14:textId="3C064FDF" w:rsidR="003C6EE8" w:rsidRPr="00DB3478" w:rsidRDefault="001C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w:t>
            </w:r>
          </w:p>
        </w:tc>
        <w:tc>
          <w:tcPr>
            <w:tcW w:w="2943" w:type="dxa"/>
          </w:tcPr>
          <w:p w14:paraId="2B8DBE76" w14:textId="77777777" w:rsidR="003C6EE8" w:rsidRPr="00DB3478" w:rsidRDefault="003C6EE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B3478">
              <w:rPr>
                <w:rFonts w:ascii="Arial" w:hAnsi="Arial" w:cs="Arial"/>
                <w:sz w:val="22"/>
                <w:szCs w:val="22"/>
                <w:u w:val="single"/>
              </w:rPr>
              <w:t>0</w:t>
            </w:r>
            <w:r w:rsidRPr="00DB3478">
              <w:rPr>
                <w:rFonts w:ascii="Arial" w:hAnsi="Arial" w:cs="Arial"/>
                <w:sz w:val="22"/>
                <w:szCs w:val="22"/>
              </w:rPr>
              <w:t xml:space="preserve"> </w:t>
            </w:r>
            <w:proofErr w:type="gramStart"/>
            <w:r w:rsidRPr="00DB3478">
              <w:rPr>
                <w:rFonts w:ascii="Arial" w:hAnsi="Arial" w:cs="Arial"/>
                <w:sz w:val="22"/>
                <w:szCs w:val="22"/>
              </w:rPr>
              <w:t>Conciliar</w:t>
            </w:r>
            <w:proofErr w:type="gramEnd"/>
            <w:r w:rsidRPr="00DB3478">
              <w:rPr>
                <w:rFonts w:ascii="Arial" w:hAnsi="Arial" w:cs="Arial"/>
                <w:sz w:val="22"/>
                <w:szCs w:val="22"/>
              </w:rPr>
              <w:t xml:space="preserve"> / </w:t>
            </w:r>
            <w:r w:rsidRPr="00DB3478">
              <w:rPr>
                <w:rFonts w:ascii="Arial" w:hAnsi="Arial" w:cs="Arial"/>
                <w:sz w:val="22"/>
                <w:szCs w:val="22"/>
                <w:u w:val="single"/>
              </w:rPr>
              <w:t>2</w:t>
            </w:r>
            <w:r w:rsidRPr="00DB3478">
              <w:rPr>
                <w:rFonts w:ascii="Arial" w:hAnsi="Arial" w:cs="Arial"/>
                <w:sz w:val="22"/>
                <w:szCs w:val="22"/>
              </w:rPr>
              <w:t xml:space="preserve"> No conciliar</w:t>
            </w:r>
          </w:p>
        </w:tc>
      </w:tr>
      <w:tr w:rsidR="003C6EE8" w:rsidRPr="00DB3478" w14:paraId="2F1D61D1" w14:textId="77777777">
        <w:tc>
          <w:tcPr>
            <w:cnfStyle w:val="001000000000" w:firstRow="0" w:lastRow="0" w:firstColumn="1" w:lastColumn="0" w:oddVBand="0" w:evenVBand="0" w:oddHBand="0" w:evenHBand="0" w:firstRowFirstColumn="0" w:firstRowLastColumn="0" w:lastRowFirstColumn="0" w:lastRowLastColumn="0"/>
            <w:tcW w:w="2942" w:type="dxa"/>
          </w:tcPr>
          <w:p w14:paraId="15E5D41A" w14:textId="77777777" w:rsidR="003C6EE8" w:rsidRDefault="003C6EE8">
            <w:pPr>
              <w:jc w:val="center"/>
              <w:rPr>
                <w:rFonts w:ascii="Arial" w:hAnsi="Arial" w:cs="Arial"/>
                <w:sz w:val="22"/>
                <w:szCs w:val="22"/>
              </w:rPr>
            </w:pPr>
            <w:r>
              <w:rPr>
                <w:rFonts w:ascii="Arial" w:hAnsi="Arial" w:cs="Arial"/>
                <w:sz w:val="22"/>
                <w:szCs w:val="22"/>
              </w:rPr>
              <w:t>Conciliaciones Judiciales</w:t>
            </w:r>
          </w:p>
          <w:p w14:paraId="2D06B0B4" w14:textId="77777777" w:rsidR="003C6EE8" w:rsidRPr="00DB3478" w:rsidRDefault="003C6EE8">
            <w:pPr>
              <w:jc w:val="center"/>
              <w:rPr>
                <w:rFonts w:ascii="Arial" w:hAnsi="Arial" w:cs="Arial"/>
                <w:sz w:val="22"/>
                <w:szCs w:val="22"/>
              </w:rPr>
            </w:pPr>
            <w:r>
              <w:rPr>
                <w:rFonts w:ascii="Arial" w:hAnsi="Arial" w:cs="Arial"/>
                <w:sz w:val="22"/>
                <w:szCs w:val="22"/>
              </w:rPr>
              <w:t>(audiencia inicial)</w:t>
            </w:r>
          </w:p>
        </w:tc>
        <w:tc>
          <w:tcPr>
            <w:tcW w:w="2943" w:type="dxa"/>
          </w:tcPr>
          <w:p w14:paraId="74B5B943" w14:textId="384B8047" w:rsidR="003C6EE8" w:rsidRDefault="001C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9</w:t>
            </w:r>
          </w:p>
        </w:tc>
        <w:tc>
          <w:tcPr>
            <w:tcW w:w="2943" w:type="dxa"/>
          </w:tcPr>
          <w:p w14:paraId="7A91314D" w14:textId="5E7CBBEA" w:rsidR="003C6EE8" w:rsidRPr="00DB3478" w:rsidRDefault="003C6EE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u w:val="single"/>
              </w:rPr>
            </w:pPr>
            <w:r w:rsidRPr="00DB3478">
              <w:rPr>
                <w:rFonts w:ascii="Arial" w:hAnsi="Arial" w:cs="Arial"/>
                <w:sz w:val="22"/>
                <w:szCs w:val="22"/>
                <w:u w:val="single"/>
              </w:rPr>
              <w:t>0</w:t>
            </w:r>
            <w:r w:rsidRPr="00DB3478">
              <w:rPr>
                <w:rFonts w:ascii="Arial" w:hAnsi="Arial" w:cs="Arial"/>
                <w:sz w:val="22"/>
                <w:szCs w:val="22"/>
              </w:rPr>
              <w:t xml:space="preserve"> </w:t>
            </w:r>
            <w:proofErr w:type="gramStart"/>
            <w:r w:rsidRPr="00DB3478">
              <w:rPr>
                <w:rFonts w:ascii="Arial" w:hAnsi="Arial" w:cs="Arial"/>
                <w:sz w:val="22"/>
                <w:szCs w:val="22"/>
              </w:rPr>
              <w:t>Conciliar</w:t>
            </w:r>
            <w:proofErr w:type="gramEnd"/>
            <w:r w:rsidRPr="00DB3478">
              <w:rPr>
                <w:rFonts w:ascii="Arial" w:hAnsi="Arial" w:cs="Arial"/>
                <w:sz w:val="22"/>
                <w:szCs w:val="22"/>
              </w:rPr>
              <w:t xml:space="preserve"> / </w:t>
            </w:r>
            <w:r w:rsidR="001C3942">
              <w:rPr>
                <w:rFonts w:ascii="Arial" w:hAnsi="Arial" w:cs="Arial"/>
                <w:sz w:val="22"/>
                <w:szCs w:val="22"/>
              </w:rPr>
              <w:t>11</w:t>
            </w:r>
            <w:r w:rsidRPr="00DB3478">
              <w:rPr>
                <w:rFonts w:ascii="Arial" w:hAnsi="Arial" w:cs="Arial"/>
                <w:sz w:val="22"/>
                <w:szCs w:val="22"/>
              </w:rPr>
              <w:t xml:space="preserve"> No conciliar</w:t>
            </w:r>
          </w:p>
        </w:tc>
      </w:tr>
      <w:tr w:rsidR="003C6EE8" w:rsidRPr="00DB3478" w14:paraId="49FF5C0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153E58BC" w14:textId="77777777" w:rsidR="003C6EE8" w:rsidRPr="00DB3478" w:rsidRDefault="003C6EE8">
            <w:pPr>
              <w:jc w:val="center"/>
              <w:rPr>
                <w:rFonts w:ascii="Arial" w:hAnsi="Arial" w:cs="Arial"/>
                <w:sz w:val="22"/>
                <w:szCs w:val="22"/>
              </w:rPr>
            </w:pPr>
            <w:r w:rsidRPr="00DB3478">
              <w:rPr>
                <w:rFonts w:ascii="Arial" w:hAnsi="Arial" w:cs="Arial"/>
                <w:sz w:val="22"/>
                <w:szCs w:val="22"/>
              </w:rPr>
              <w:t>Pactos de Cumplimiento / Acciones Populares</w:t>
            </w:r>
          </w:p>
        </w:tc>
        <w:tc>
          <w:tcPr>
            <w:tcW w:w="2943" w:type="dxa"/>
          </w:tcPr>
          <w:p w14:paraId="13DED48E" w14:textId="792D4EF0" w:rsidR="003C6EE8" w:rsidRPr="00DB3478" w:rsidRDefault="001C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w:t>
            </w:r>
          </w:p>
        </w:tc>
        <w:tc>
          <w:tcPr>
            <w:tcW w:w="2943" w:type="dxa"/>
          </w:tcPr>
          <w:p w14:paraId="668CFE29" w14:textId="07DA9C8C" w:rsidR="003C6EE8" w:rsidRPr="00DB3478" w:rsidRDefault="003C6EE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436E7">
              <w:rPr>
                <w:rFonts w:ascii="Arial" w:hAnsi="Arial" w:cs="Arial"/>
                <w:sz w:val="22"/>
                <w:szCs w:val="22"/>
                <w:u w:val="single"/>
              </w:rPr>
              <w:t>0</w:t>
            </w:r>
            <w:r>
              <w:rPr>
                <w:rFonts w:ascii="Arial" w:hAnsi="Arial" w:cs="Arial"/>
                <w:sz w:val="22"/>
                <w:szCs w:val="22"/>
              </w:rPr>
              <w:t xml:space="preserve"> </w:t>
            </w:r>
            <w:proofErr w:type="gramStart"/>
            <w:r>
              <w:rPr>
                <w:rFonts w:ascii="Arial" w:hAnsi="Arial" w:cs="Arial"/>
                <w:sz w:val="22"/>
                <w:szCs w:val="22"/>
              </w:rPr>
              <w:t>Formular</w:t>
            </w:r>
            <w:proofErr w:type="gramEnd"/>
            <w:r>
              <w:rPr>
                <w:rFonts w:ascii="Arial" w:hAnsi="Arial" w:cs="Arial"/>
                <w:sz w:val="22"/>
                <w:szCs w:val="22"/>
              </w:rPr>
              <w:t xml:space="preserve"> / </w:t>
            </w:r>
            <w:r w:rsidR="001C3942">
              <w:rPr>
                <w:rFonts w:ascii="Arial" w:hAnsi="Arial" w:cs="Arial"/>
                <w:sz w:val="22"/>
                <w:szCs w:val="22"/>
              </w:rPr>
              <w:t>2</w:t>
            </w:r>
            <w:r>
              <w:rPr>
                <w:rFonts w:ascii="Arial" w:hAnsi="Arial" w:cs="Arial"/>
                <w:sz w:val="22"/>
                <w:szCs w:val="22"/>
              </w:rPr>
              <w:t xml:space="preserve"> No Formular </w:t>
            </w:r>
          </w:p>
        </w:tc>
      </w:tr>
      <w:tr w:rsidR="003C6EE8" w:rsidRPr="00DB3478" w14:paraId="416FC173" w14:textId="77777777">
        <w:tc>
          <w:tcPr>
            <w:cnfStyle w:val="001000000000" w:firstRow="0" w:lastRow="0" w:firstColumn="1" w:lastColumn="0" w:oddVBand="0" w:evenVBand="0" w:oddHBand="0" w:evenHBand="0" w:firstRowFirstColumn="0" w:firstRowLastColumn="0" w:lastRowFirstColumn="0" w:lastRowLastColumn="0"/>
            <w:tcW w:w="2942" w:type="dxa"/>
          </w:tcPr>
          <w:p w14:paraId="4DABEC53" w14:textId="77777777" w:rsidR="003C6EE8" w:rsidRPr="00FD0A40" w:rsidRDefault="003C6EE8">
            <w:pPr>
              <w:jc w:val="center"/>
              <w:rPr>
                <w:rFonts w:ascii="Arial" w:hAnsi="Arial" w:cs="Arial"/>
                <w:sz w:val="28"/>
                <w:szCs w:val="28"/>
              </w:rPr>
            </w:pPr>
            <w:r w:rsidRPr="00FD0A40">
              <w:rPr>
                <w:rFonts w:ascii="Arial" w:hAnsi="Arial" w:cs="Arial"/>
                <w:sz w:val="28"/>
                <w:szCs w:val="28"/>
              </w:rPr>
              <w:t>TOTAL</w:t>
            </w:r>
          </w:p>
        </w:tc>
        <w:tc>
          <w:tcPr>
            <w:tcW w:w="2943" w:type="dxa"/>
          </w:tcPr>
          <w:p w14:paraId="579610DB" w14:textId="3491624A" w:rsidR="003C6EE8" w:rsidRPr="00FD0A40" w:rsidRDefault="001C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b/>
                <w:bCs/>
                <w:sz w:val="28"/>
                <w:szCs w:val="28"/>
              </w:rPr>
              <w:t>13</w:t>
            </w:r>
          </w:p>
        </w:tc>
        <w:tc>
          <w:tcPr>
            <w:tcW w:w="2943" w:type="dxa"/>
          </w:tcPr>
          <w:p w14:paraId="33118032" w14:textId="77777777" w:rsidR="003C6EE8" w:rsidRPr="00FD0A40" w:rsidRDefault="003C6EE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bl>
    <w:p w14:paraId="775D36F6" w14:textId="77777777" w:rsidR="003C6EE8" w:rsidRDefault="003C6EE8" w:rsidP="003C6EE8">
      <w:pPr>
        <w:jc w:val="both"/>
        <w:rPr>
          <w:rFonts w:ascii="Arial" w:hAnsi="Arial" w:cs="Arial"/>
        </w:rPr>
      </w:pPr>
    </w:p>
    <w:p w14:paraId="4E126192" w14:textId="061D191E" w:rsidR="003C6EE8" w:rsidRDefault="003C6EE8" w:rsidP="00344166">
      <w:pPr>
        <w:pStyle w:val="Prrafodelista"/>
        <w:numPr>
          <w:ilvl w:val="0"/>
          <w:numId w:val="36"/>
        </w:numPr>
        <w:jc w:val="both"/>
        <w:rPr>
          <w:rFonts w:ascii="Arial" w:hAnsi="Arial" w:cs="Arial"/>
          <w:b/>
          <w:bCs/>
          <w:i/>
          <w:iCs/>
        </w:rPr>
      </w:pPr>
      <w:r w:rsidRPr="00344166">
        <w:rPr>
          <w:rFonts w:ascii="Arial" w:hAnsi="Arial" w:cs="Arial"/>
          <w:b/>
          <w:bCs/>
          <w:i/>
          <w:iCs/>
        </w:rPr>
        <w:t xml:space="preserve">Por </w:t>
      </w:r>
      <w:r w:rsidR="00344166" w:rsidRPr="00344166">
        <w:rPr>
          <w:rFonts w:ascii="Arial" w:hAnsi="Arial" w:cs="Arial"/>
          <w:b/>
          <w:bCs/>
          <w:i/>
          <w:iCs/>
        </w:rPr>
        <w:t>medio de control o acción judicial</w:t>
      </w:r>
    </w:p>
    <w:p w14:paraId="6C986437" w14:textId="77777777" w:rsidR="008625B2" w:rsidRDefault="008625B2" w:rsidP="008625B2">
      <w:pPr>
        <w:jc w:val="both"/>
        <w:rPr>
          <w:rFonts w:ascii="Arial" w:hAnsi="Arial" w:cs="Arial"/>
        </w:rPr>
      </w:pPr>
    </w:p>
    <w:p w14:paraId="4B317C99" w14:textId="09ADD386" w:rsidR="008625B2" w:rsidRPr="008625B2" w:rsidRDefault="008625B2" w:rsidP="008625B2">
      <w:pPr>
        <w:jc w:val="both"/>
        <w:rPr>
          <w:rFonts w:ascii="Arial" w:hAnsi="Arial" w:cs="Arial"/>
        </w:rPr>
      </w:pPr>
      <w:r w:rsidRPr="008625B2">
        <w:rPr>
          <w:rFonts w:ascii="Arial" w:hAnsi="Arial" w:cs="Arial"/>
        </w:rPr>
        <w:t>Clasificación de los asuntos de acuerdo con la vía procesal en la que se enmarcan las pretensiones en contra de la entidad:</w:t>
      </w:r>
    </w:p>
    <w:p w14:paraId="06CCA56D" w14:textId="77777777" w:rsidR="008625B2" w:rsidRPr="008625B2" w:rsidRDefault="008625B2" w:rsidP="008625B2">
      <w:pPr>
        <w:jc w:val="both"/>
        <w:rPr>
          <w:rFonts w:ascii="Arial" w:hAnsi="Arial" w:cs="Arial"/>
          <w:b/>
          <w:bCs/>
          <w:i/>
          <w:iCs/>
        </w:rPr>
      </w:pPr>
    </w:p>
    <w:p w14:paraId="4BD10636" w14:textId="41C98A77" w:rsidR="008625B2" w:rsidRPr="008625B2" w:rsidRDefault="008625B2" w:rsidP="008625B2">
      <w:pPr>
        <w:jc w:val="center"/>
        <w:rPr>
          <w:rFonts w:ascii="Arial" w:hAnsi="Arial" w:cs="Arial"/>
          <w:b/>
          <w:bCs/>
          <w:i/>
          <w:iCs/>
        </w:rPr>
      </w:pPr>
      <w:r>
        <w:rPr>
          <w:rFonts w:ascii="Arial" w:hAnsi="Arial" w:cs="Arial"/>
          <w:b/>
          <w:bCs/>
          <w:i/>
          <w:iCs/>
          <w:noProof/>
        </w:rPr>
        <w:drawing>
          <wp:inline distT="0" distB="0" distL="0" distR="0" wp14:anchorId="19BD73DE" wp14:editId="41CBE511">
            <wp:extent cx="4433012" cy="2370125"/>
            <wp:effectExtent l="0" t="0" r="5715" b="1143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5F8FF18" w14:textId="029E35CC" w:rsidR="003C6EE8" w:rsidRPr="009E572D" w:rsidRDefault="003C6EE8" w:rsidP="003C6EE8">
      <w:pPr>
        <w:numPr>
          <w:ilvl w:val="0"/>
          <w:numId w:val="16"/>
        </w:numPr>
        <w:spacing w:line="278" w:lineRule="auto"/>
        <w:jc w:val="both"/>
        <w:rPr>
          <w:rFonts w:ascii="Arial" w:hAnsi="Arial" w:cs="Arial"/>
        </w:rPr>
      </w:pPr>
      <w:r w:rsidRPr="009E572D">
        <w:rPr>
          <w:rFonts w:ascii="Arial" w:hAnsi="Arial" w:cs="Arial"/>
          <w:b/>
          <w:bCs/>
        </w:rPr>
        <w:t>Reparación Directa:</w:t>
      </w:r>
      <w:r w:rsidRPr="009E572D">
        <w:rPr>
          <w:rFonts w:ascii="Arial" w:hAnsi="Arial" w:cs="Arial"/>
        </w:rPr>
        <w:t xml:space="preserve"> </w:t>
      </w:r>
      <w:r w:rsidR="00EF4B43">
        <w:rPr>
          <w:rFonts w:ascii="Arial" w:hAnsi="Arial" w:cs="Arial"/>
        </w:rPr>
        <w:t>9</w:t>
      </w:r>
      <w:r>
        <w:rPr>
          <w:rFonts w:ascii="Arial" w:hAnsi="Arial" w:cs="Arial"/>
        </w:rPr>
        <w:t xml:space="preserve"> </w:t>
      </w:r>
      <w:r w:rsidRPr="009E572D">
        <w:rPr>
          <w:rFonts w:ascii="Arial" w:hAnsi="Arial" w:cs="Arial"/>
        </w:rPr>
        <w:t>casos.</w:t>
      </w:r>
    </w:p>
    <w:p w14:paraId="23D6E2A3" w14:textId="4952DE1E" w:rsidR="003C6EE8" w:rsidRDefault="003C6EE8" w:rsidP="003C6EE8">
      <w:pPr>
        <w:numPr>
          <w:ilvl w:val="0"/>
          <w:numId w:val="16"/>
        </w:numPr>
        <w:spacing w:line="278" w:lineRule="auto"/>
        <w:jc w:val="both"/>
        <w:rPr>
          <w:rFonts w:ascii="Arial" w:hAnsi="Arial" w:cs="Arial"/>
        </w:rPr>
      </w:pPr>
      <w:r w:rsidRPr="009E572D">
        <w:rPr>
          <w:rFonts w:ascii="Arial" w:hAnsi="Arial" w:cs="Arial"/>
          <w:b/>
          <w:bCs/>
        </w:rPr>
        <w:t xml:space="preserve">Acciones </w:t>
      </w:r>
      <w:r w:rsidR="00DC4C77">
        <w:rPr>
          <w:rFonts w:ascii="Arial" w:hAnsi="Arial" w:cs="Arial"/>
          <w:b/>
          <w:bCs/>
        </w:rPr>
        <w:t>constitucionales</w:t>
      </w:r>
      <w:r w:rsidRPr="009E572D">
        <w:rPr>
          <w:rFonts w:ascii="Arial" w:hAnsi="Arial" w:cs="Arial"/>
          <w:b/>
          <w:bCs/>
        </w:rPr>
        <w:t>:</w:t>
      </w:r>
      <w:r w:rsidRPr="009E572D">
        <w:rPr>
          <w:rFonts w:ascii="Arial" w:hAnsi="Arial" w:cs="Arial"/>
        </w:rPr>
        <w:t xml:space="preserve"> </w:t>
      </w:r>
      <w:r w:rsidR="00EF4B43">
        <w:rPr>
          <w:rFonts w:ascii="Arial" w:hAnsi="Arial" w:cs="Arial"/>
        </w:rPr>
        <w:t>2</w:t>
      </w:r>
      <w:r>
        <w:rPr>
          <w:rFonts w:ascii="Arial" w:hAnsi="Arial" w:cs="Arial"/>
        </w:rPr>
        <w:t xml:space="preserve"> </w:t>
      </w:r>
      <w:r w:rsidRPr="009E572D">
        <w:rPr>
          <w:rFonts w:ascii="Arial" w:hAnsi="Arial" w:cs="Arial"/>
        </w:rPr>
        <w:t>caso</w:t>
      </w:r>
      <w:r w:rsidR="00201CC3">
        <w:rPr>
          <w:rFonts w:ascii="Arial" w:hAnsi="Arial" w:cs="Arial"/>
        </w:rPr>
        <w:t>s</w:t>
      </w:r>
      <w:r w:rsidRPr="009E572D">
        <w:rPr>
          <w:rFonts w:ascii="Arial" w:hAnsi="Arial" w:cs="Arial"/>
        </w:rPr>
        <w:t>.</w:t>
      </w:r>
    </w:p>
    <w:p w14:paraId="1CC7F12F" w14:textId="32123CD2" w:rsidR="00EF4B43" w:rsidRPr="00EF4B43" w:rsidRDefault="00EF4B43" w:rsidP="00EF4B43">
      <w:pPr>
        <w:numPr>
          <w:ilvl w:val="0"/>
          <w:numId w:val="16"/>
        </w:numPr>
        <w:spacing w:line="278" w:lineRule="auto"/>
        <w:jc w:val="both"/>
        <w:rPr>
          <w:rFonts w:ascii="Arial" w:hAnsi="Arial" w:cs="Arial"/>
        </w:rPr>
      </w:pPr>
      <w:r w:rsidRPr="009E572D">
        <w:rPr>
          <w:rFonts w:ascii="Arial" w:hAnsi="Arial" w:cs="Arial"/>
          <w:b/>
          <w:bCs/>
        </w:rPr>
        <w:t>Nulidad y Restablecimiento del Derecho:</w:t>
      </w:r>
      <w:r w:rsidRPr="009E572D">
        <w:rPr>
          <w:rFonts w:ascii="Arial" w:hAnsi="Arial" w:cs="Arial"/>
        </w:rPr>
        <w:t xml:space="preserve"> </w:t>
      </w:r>
      <w:r>
        <w:rPr>
          <w:rFonts w:ascii="Arial" w:hAnsi="Arial" w:cs="Arial"/>
        </w:rPr>
        <w:t xml:space="preserve">1 </w:t>
      </w:r>
      <w:r w:rsidRPr="009E572D">
        <w:rPr>
          <w:rFonts w:ascii="Arial" w:hAnsi="Arial" w:cs="Arial"/>
        </w:rPr>
        <w:t>caso.</w:t>
      </w:r>
    </w:p>
    <w:p w14:paraId="68141072" w14:textId="23D7A1EF" w:rsidR="00EF4B43" w:rsidRDefault="00EF4B43" w:rsidP="003C6EE8">
      <w:pPr>
        <w:numPr>
          <w:ilvl w:val="0"/>
          <w:numId w:val="16"/>
        </w:numPr>
        <w:spacing w:line="278" w:lineRule="auto"/>
        <w:jc w:val="both"/>
        <w:rPr>
          <w:rFonts w:ascii="Arial" w:hAnsi="Arial" w:cs="Arial"/>
        </w:rPr>
      </w:pPr>
      <w:r>
        <w:rPr>
          <w:rFonts w:ascii="Arial" w:hAnsi="Arial" w:cs="Arial"/>
          <w:b/>
          <w:bCs/>
        </w:rPr>
        <w:t>Ordinario Laboral:</w:t>
      </w:r>
      <w:r>
        <w:rPr>
          <w:rFonts w:ascii="Arial" w:hAnsi="Arial" w:cs="Arial"/>
        </w:rPr>
        <w:t xml:space="preserve"> 1 caso</w:t>
      </w:r>
    </w:p>
    <w:p w14:paraId="7643F73E" w14:textId="77777777" w:rsidR="008625B2" w:rsidRDefault="008625B2" w:rsidP="008625B2">
      <w:pPr>
        <w:spacing w:line="278" w:lineRule="auto"/>
        <w:ind w:left="720"/>
        <w:jc w:val="both"/>
        <w:rPr>
          <w:rFonts w:ascii="Arial" w:hAnsi="Arial" w:cs="Arial"/>
          <w:b/>
          <w:bCs/>
        </w:rPr>
      </w:pPr>
    </w:p>
    <w:p w14:paraId="0EC552A2" w14:textId="77777777" w:rsidR="008625B2" w:rsidRDefault="008625B2" w:rsidP="008625B2">
      <w:pPr>
        <w:spacing w:line="278" w:lineRule="auto"/>
        <w:ind w:left="720"/>
        <w:jc w:val="both"/>
        <w:rPr>
          <w:rFonts w:ascii="Arial" w:hAnsi="Arial" w:cs="Arial"/>
        </w:rPr>
      </w:pPr>
    </w:p>
    <w:p w14:paraId="05C143E9" w14:textId="75BAE94E" w:rsidR="003C6EE8" w:rsidRPr="00344166" w:rsidRDefault="003C6EE8" w:rsidP="00344166">
      <w:pPr>
        <w:pStyle w:val="Prrafodelista"/>
        <w:numPr>
          <w:ilvl w:val="0"/>
          <w:numId w:val="36"/>
        </w:numPr>
        <w:spacing w:before="100" w:beforeAutospacing="1" w:after="100" w:afterAutospacing="1" w:line="240" w:lineRule="auto"/>
        <w:outlineLvl w:val="3"/>
        <w:rPr>
          <w:rFonts w:ascii="Arial" w:eastAsia="Times New Roman" w:hAnsi="Arial" w:cs="Arial"/>
          <w:b/>
          <w:bCs/>
          <w:i/>
          <w:iCs/>
          <w:lang w:eastAsia="es-MX"/>
        </w:rPr>
      </w:pPr>
      <w:r w:rsidRPr="00344166">
        <w:rPr>
          <w:rFonts w:ascii="Arial" w:eastAsia="Times New Roman" w:hAnsi="Arial" w:cs="Arial"/>
          <w:b/>
          <w:bCs/>
          <w:i/>
          <w:iCs/>
          <w:lang w:eastAsia="es-MX"/>
        </w:rPr>
        <w:t>Por Tipo de Subcausa (</w:t>
      </w:r>
      <w:r w:rsidR="00344166" w:rsidRPr="00344166">
        <w:rPr>
          <w:rFonts w:ascii="Arial" w:eastAsia="Times New Roman" w:hAnsi="Arial" w:cs="Arial"/>
          <w:b/>
          <w:bCs/>
          <w:i/>
          <w:iCs/>
          <w:lang w:eastAsia="es-MX"/>
        </w:rPr>
        <w:t>tipología del daño antijurídico</w:t>
      </w:r>
      <w:r w:rsidRPr="00344166">
        <w:rPr>
          <w:rFonts w:ascii="Arial" w:eastAsia="Times New Roman" w:hAnsi="Arial" w:cs="Arial"/>
          <w:b/>
          <w:bCs/>
          <w:i/>
          <w:iCs/>
          <w:lang w:eastAsia="es-MX"/>
        </w:rPr>
        <w:t>)</w:t>
      </w:r>
    </w:p>
    <w:p w14:paraId="6256FA10" w14:textId="77777777" w:rsidR="003C6EE8" w:rsidRDefault="003C6EE8" w:rsidP="003C6EE8">
      <w:pPr>
        <w:spacing w:before="100" w:beforeAutospacing="1" w:after="100" w:afterAutospacing="1" w:line="240" w:lineRule="auto"/>
        <w:jc w:val="both"/>
        <w:rPr>
          <w:rFonts w:ascii="Arial" w:eastAsia="Times New Roman" w:hAnsi="Arial" w:cs="Arial"/>
          <w:lang w:eastAsia="es-MX"/>
        </w:rPr>
      </w:pPr>
      <w:r w:rsidRPr="008958C6">
        <w:rPr>
          <w:rFonts w:ascii="Arial" w:eastAsia="Times New Roman" w:hAnsi="Arial" w:cs="Arial"/>
          <w:lang w:eastAsia="es-MX"/>
        </w:rPr>
        <w:lastRenderedPageBreak/>
        <w:t>Con el fin de identificar las fallas administrativas reiterativas y alimentar la Política de Prevención, los casos estudiados se tipificaron bajo las siguientes subcausas principales:</w:t>
      </w:r>
    </w:p>
    <w:p w14:paraId="2BFD22F2" w14:textId="0D7FB770" w:rsidR="008625B2" w:rsidRPr="008958C6" w:rsidRDefault="008625B2" w:rsidP="008625B2">
      <w:pPr>
        <w:spacing w:before="100" w:beforeAutospacing="1" w:after="100" w:afterAutospacing="1" w:line="240" w:lineRule="auto"/>
        <w:jc w:val="center"/>
        <w:rPr>
          <w:rFonts w:ascii="Arial" w:eastAsia="Times New Roman" w:hAnsi="Arial" w:cs="Arial"/>
          <w:lang w:eastAsia="es-MX"/>
        </w:rPr>
      </w:pPr>
      <w:r>
        <w:rPr>
          <w:rFonts w:ascii="Arial" w:eastAsia="Times New Roman" w:hAnsi="Arial" w:cs="Arial"/>
          <w:noProof/>
          <w:lang w:eastAsia="es-MX"/>
        </w:rPr>
        <w:drawing>
          <wp:inline distT="0" distB="0" distL="0" distR="0" wp14:anchorId="77AD0852" wp14:editId="75987BA5">
            <wp:extent cx="5603444" cy="3412541"/>
            <wp:effectExtent l="0" t="0" r="16510" b="1651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C42F66" w14:textId="02C722A4" w:rsidR="003C6EE8" w:rsidRPr="00EF4B43" w:rsidRDefault="003C6EE8" w:rsidP="003C6EE8">
      <w:pPr>
        <w:numPr>
          <w:ilvl w:val="0"/>
          <w:numId w:val="16"/>
        </w:numPr>
        <w:spacing w:line="278" w:lineRule="auto"/>
        <w:jc w:val="both"/>
        <w:rPr>
          <w:rFonts w:ascii="Arial" w:hAnsi="Arial" w:cs="Arial"/>
          <w:b/>
          <w:bCs/>
        </w:rPr>
      </w:pPr>
      <w:r w:rsidRPr="00EF4B43">
        <w:rPr>
          <w:rFonts w:ascii="Arial" w:hAnsi="Arial" w:cs="Arial"/>
          <w:b/>
          <w:bCs/>
        </w:rPr>
        <w:t xml:space="preserve">Daños derivados de la actividad legislativa: </w:t>
      </w:r>
      <w:r w:rsidR="00D36BB3" w:rsidRPr="00D36BB3">
        <w:rPr>
          <w:rFonts w:ascii="Arial" w:hAnsi="Arial" w:cs="Arial"/>
        </w:rPr>
        <w:t>8</w:t>
      </w:r>
      <w:r w:rsidRPr="00D36BB3">
        <w:rPr>
          <w:rFonts w:ascii="Arial" w:hAnsi="Arial" w:cs="Arial"/>
        </w:rPr>
        <w:t xml:space="preserve"> casos.</w:t>
      </w:r>
    </w:p>
    <w:p w14:paraId="35EB7D6B" w14:textId="6CE4CADC" w:rsidR="00DC4C77" w:rsidRDefault="00DC4C77" w:rsidP="003C6EE8">
      <w:pPr>
        <w:numPr>
          <w:ilvl w:val="0"/>
          <w:numId w:val="16"/>
        </w:numPr>
        <w:spacing w:line="278" w:lineRule="auto"/>
        <w:jc w:val="both"/>
        <w:rPr>
          <w:rFonts w:ascii="Arial" w:hAnsi="Arial" w:cs="Arial"/>
          <w:b/>
          <w:bCs/>
        </w:rPr>
      </w:pPr>
      <w:r w:rsidRPr="00EF4B43">
        <w:rPr>
          <w:rFonts w:ascii="Arial" w:hAnsi="Arial" w:cs="Arial"/>
          <w:b/>
          <w:bCs/>
        </w:rPr>
        <w:t xml:space="preserve">Acción popular: </w:t>
      </w:r>
      <w:r w:rsidR="00EF4B43" w:rsidRPr="00D36BB3">
        <w:rPr>
          <w:rFonts w:ascii="Arial" w:hAnsi="Arial" w:cs="Arial"/>
        </w:rPr>
        <w:t>2</w:t>
      </w:r>
      <w:r w:rsidR="00D36BB3" w:rsidRPr="00D36BB3">
        <w:rPr>
          <w:rFonts w:ascii="Arial" w:hAnsi="Arial" w:cs="Arial"/>
        </w:rPr>
        <w:t xml:space="preserve"> casos.</w:t>
      </w:r>
    </w:p>
    <w:p w14:paraId="0E21E416" w14:textId="20473975" w:rsidR="00D36BB3" w:rsidRDefault="00D36BB3" w:rsidP="003C6EE8">
      <w:pPr>
        <w:numPr>
          <w:ilvl w:val="0"/>
          <w:numId w:val="16"/>
        </w:numPr>
        <w:spacing w:line="278" w:lineRule="auto"/>
        <w:jc w:val="both"/>
        <w:rPr>
          <w:rFonts w:ascii="Arial" w:hAnsi="Arial" w:cs="Arial"/>
          <w:b/>
          <w:bCs/>
        </w:rPr>
      </w:pPr>
      <w:r>
        <w:rPr>
          <w:rFonts w:ascii="Arial" w:hAnsi="Arial" w:cs="Arial"/>
          <w:b/>
          <w:bCs/>
        </w:rPr>
        <w:t xml:space="preserve">Detención preventiva de la libertad con fines de extradición: </w:t>
      </w:r>
      <w:r w:rsidRPr="00D36BB3">
        <w:rPr>
          <w:rFonts w:ascii="Arial" w:hAnsi="Arial" w:cs="Arial"/>
        </w:rPr>
        <w:t>1 caso.</w:t>
      </w:r>
    </w:p>
    <w:p w14:paraId="3DFACFF0" w14:textId="2EBA59F9" w:rsidR="00D36BB3" w:rsidRDefault="00D36BB3" w:rsidP="003C6EE8">
      <w:pPr>
        <w:numPr>
          <w:ilvl w:val="0"/>
          <w:numId w:val="16"/>
        </w:numPr>
        <w:spacing w:line="278" w:lineRule="auto"/>
        <w:jc w:val="both"/>
        <w:rPr>
          <w:rFonts w:ascii="Arial" w:hAnsi="Arial" w:cs="Arial"/>
          <w:b/>
          <w:bCs/>
        </w:rPr>
      </w:pPr>
      <w:r>
        <w:rPr>
          <w:rFonts w:ascii="Arial" w:hAnsi="Arial" w:cs="Arial"/>
          <w:b/>
          <w:bCs/>
        </w:rPr>
        <w:t xml:space="preserve">Indebida liquidación régimen de cesantías: </w:t>
      </w:r>
      <w:r w:rsidRPr="00D36BB3">
        <w:rPr>
          <w:rFonts w:ascii="Arial" w:hAnsi="Arial" w:cs="Arial"/>
        </w:rPr>
        <w:t>1 caso.</w:t>
      </w:r>
    </w:p>
    <w:p w14:paraId="165F1D24" w14:textId="6FDBB6DF" w:rsidR="00D36BB3" w:rsidRPr="00EF4B43" w:rsidRDefault="00D36BB3" w:rsidP="003C6EE8">
      <w:pPr>
        <w:numPr>
          <w:ilvl w:val="0"/>
          <w:numId w:val="16"/>
        </w:numPr>
        <w:spacing w:line="278" w:lineRule="auto"/>
        <w:jc w:val="both"/>
        <w:rPr>
          <w:rFonts w:ascii="Arial" w:hAnsi="Arial" w:cs="Arial"/>
          <w:b/>
          <w:bCs/>
        </w:rPr>
      </w:pPr>
      <w:r>
        <w:rPr>
          <w:rFonts w:ascii="Arial" w:hAnsi="Arial" w:cs="Arial"/>
          <w:b/>
          <w:bCs/>
        </w:rPr>
        <w:t xml:space="preserve">Ordinario Laboral: </w:t>
      </w:r>
      <w:r w:rsidRPr="00D36BB3">
        <w:rPr>
          <w:rFonts w:ascii="Arial" w:hAnsi="Arial" w:cs="Arial"/>
        </w:rPr>
        <w:t>1 caso.</w:t>
      </w:r>
    </w:p>
    <w:p w14:paraId="788C4E3F" w14:textId="77777777" w:rsidR="00344166" w:rsidRDefault="00344166" w:rsidP="00344166">
      <w:pPr>
        <w:spacing w:line="278" w:lineRule="auto"/>
        <w:ind w:left="720"/>
        <w:jc w:val="both"/>
        <w:rPr>
          <w:rFonts w:ascii="Arial" w:hAnsi="Arial" w:cs="Arial"/>
          <w:b/>
          <w:bCs/>
        </w:rPr>
      </w:pPr>
    </w:p>
    <w:p w14:paraId="36C96C5C" w14:textId="7598976E" w:rsidR="003C6EE8" w:rsidRPr="00344166" w:rsidRDefault="003C6EE8" w:rsidP="00344166">
      <w:pPr>
        <w:pStyle w:val="Prrafodelista"/>
        <w:numPr>
          <w:ilvl w:val="1"/>
          <w:numId w:val="35"/>
        </w:numPr>
        <w:jc w:val="both"/>
        <w:rPr>
          <w:rFonts w:ascii="Arial" w:hAnsi="Arial" w:cs="Arial"/>
          <w:b/>
          <w:bCs/>
        </w:rPr>
      </w:pPr>
      <w:r w:rsidRPr="00344166">
        <w:rPr>
          <w:rFonts w:ascii="Arial" w:hAnsi="Arial" w:cs="Arial"/>
          <w:b/>
          <w:bCs/>
        </w:rPr>
        <w:t>ANÁLISIS JURÍDICO ECONÓMICO DE LA GESTIÓN: IMPACTO Y DECISIONES CLAVE</w:t>
      </w:r>
    </w:p>
    <w:p w14:paraId="684EE687" w14:textId="77777777" w:rsidR="003C6EE8" w:rsidRPr="00424EA4" w:rsidRDefault="003C6EE8" w:rsidP="003C6EE8">
      <w:pPr>
        <w:spacing w:line="278" w:lineRule="auto"/>
        <w:jc w:val="both"/>
        <w:rPr>
          <w:rFonts w:ascii="Arial" w:hAnsi="Arial" w:cs="Arial"/>
        </w:rPr>
      </w:pPr>
      <w:r w:rsidRPr="00424EA4">
        <w:rPr>
          <w:rFonts w:ascii="Arial" w:hAnsi="Arial" w:cs="Arial"/>
        </w:rPr>
        <w:t>Este capítulo expone el balance cualitativo y cuantitativo del impacto financiero que representan las decisiones adoptadas por el Comité de Conciliación, evidenciando su rol como custodio del erario y del patrimonio público del Senado de la República.</w:t>
      </w:r>
    </w:p>
    <w:p w14:paraId="35EEB278" w14:textId="7C113BAA" w:rsidR="003C6EE8" w:rsidRPr="00344166" w:rsidRDefault="00344166" w:rsidP="00344166">
      <w:pPr>
        <w:pStyle w:val="Prrafodelista"/>
        <w:numPr>
          <w:ilvl w:val="2"/>
          <w:numId w:val="35"/>
        </w:numPr>
        <w:spacing w:line="278" w:lineRule="auto"/>
        <w:jc w:val="both"/>
        <w:rPr>
          <w:rFonts w:ascii="Arial" w:hAnsi="Arial" w:cs="Arial"/>
          <w:b/>
          <w:bCs/>
        </w:rPr>
      </w:pPr>
      <w:r>
        <w:rPr>
          <w:rFonts w:ascii="Arial" w:hAnsi="Arial" w:cs="Arial"/>
          <w:b/>
          <w:bCs/>
        </w:rPr>
        <w:t>C</w:t>
      </w:r>
      <w:r w:rsidRPr="00344166">
        <w:rPr>
          <w:rFonts w:ascii="Arial" w:hAnsi="Arial" w:cs="Arial"/>
          <w:b/>
          <w:bCs/>
        </w:rPr>
        <w:t>oncentración de la litigiosidad: ¿qué se estudió más?</w:t>
      </w:r>
    </w:p>
    <w:p w14:paraId="21416EE0" w14:textId="39339D7E" w:rsidR="003C6EE8" w:rsidRPr="00424EA4" w:rsidRDefault="003C6EE8" w:rsidP="003C6EE8">
      <w:pPr>
        <w:spacing w:line="278" w:lineRule="auto"/>
        <w:jc w:val="both"/>
        <w:rPr>
          <w:rFonts w:ascii="Arial" w:hAnsi="Arial" w:cs="Arial"/>
        </w:rPr>
      </w:pPr>
      <w:r w:rsidRPr="00424EA4">
        <w:rPr>
          <w:rFonts w:ascii="Arial" w:hAnsi="Arial" w:cs="Arial"/>
        </w:rPr>
        <w:t xml:space="preserve">Durante el </w:t>
      </w:r>
      <w:r w:rsidR="00D36BB3">
        <w:rPr>
          <w:rFonts w:ascii="Arial" w:hAnsi="Arial" w:cs="Arial"/>
        </w:rPr>
        <w:t>I semestre de 2026</w:t>
      </w:r>
      <w:r w:rsidRPr="00424EA4">
        <w:rPr>
          <w:rFonts w:ascii="Arial" w:hAnsi="Arial" w:cs="Arial"/>
        </w:rPr>
        <w:t xml:space="preserve">, la actividad del Comité se concentró mayoritariamente en el análisis de solicitudes </w:t>
      </w:r>
      <w:r w:rsidR="00344166">
        <w:rPr>
          <w:rFonts w:ascii="Arial" w:hAnsi="Arial" w:cs="Arial"/>
        </w:rPr>
        <w:t>por el</w:t>
      </w:r>
      <w:r w:rsidRPr="00424EA4">
        <w:rPr>
          <w:rFonts w:ascii="Arial" w:hAnsi="Arial" w:cs="Arial"/>
        </w:rPr>
        <w:t xml:space="preserve"> medio de control de Reparación Directa</w:t>
      </w:r>
      <w:r>
        <w:rPr>
          <w:rFonts w:ascii="Arial" w:hAnsi="Arial" w:cs="Arial"/>
        </w:rPr>
        <w:t xml:space="preserve"> en sede judicial</w:t>
      </w:r>
      <w:r w:rsidRPr="00424EA4">
        <w:rPr>
          <w:rFonts w:ascii="Arial" w:hAnsi="Arial" w:cs="Arial"/>
        </w:rPr>
        <w:t xml:space="preserve">, representando el </w:t>
      </w:r>
      <w:r w:rsidR="00D36BB3">
        <w:rPr>
          <w:rFonts w:ascii="Arial" w:hAnsi="Arial" w:cs="Arial"/>
          <w:b/>
          <w:bCs/>
        </w:rPr>
        <w:t>69.23</w:t>
      </w:r>
      <w:r w:rsidRPr="00424EA4">
        <w:rPr>
          <w:rFonts w:ascii="Arial" w:hAnsi="Arial" w:cs="Arial"/>
          <w:b/>
          <w:bCs/>
        </w:rPr>
        <w:t>%</w:t>
      </w:r>
      <w:r w:rsidRPr="00424EA4">
        <w:rPr>
          <w:rFonts w:ascii="Arial" w:hAnsi="Arial" w:cs="Arial"/>
        </w:rPr>
        <w:t xml:space="preserve"> del total de la casuística (</w:t>
      </w:r>
      <w:r w:rsidR="00D36BB3">
        <w:rPr>
          <w:rFonts w:ascii="Arial" w:hAnsi="Arial" w:cs="Arial"/>
        </w:rPr>
        <w:t>9</w:t>
      </w:r>
      <w:r w:rsidRPr="00424EA4">
        <w:rPr>
          <w:rFonts w:ascii="Arial" w:hAnsi="Arial" w:cs="Arial"/>
        </w:rPr>
        <w:t xml:space="preserve"> de los </w:t>
      </w:r>
      <w:r w:rsidR="00DC4C77">
        <w:rPr>
          <w:rFonts w:ascii="Arial" w:hAnsi="Arial" w:cs="Arial"/>
        </w:rPr>
        <w:t>1</w:t>
      </w:r>
      <w:r w:rsidR="00D36BB3">
        <w:rPr>
          <w:rFonts w:ascii="Arial" w:hAnsi="Arial" w:cs="Arial"/>
        </w:rPr>
        <w:t>3</w:t>
      </w:r>
      <w:r w:rsidRPr="00424EA4">
        <w:rPr>
          <w:rFonts w:ascii="Arial" w:hAnsi="Arial" w:cs="Arial"/>
        </w:rPr>
        <w:t xml:space="preserve"> casos estudiados), seguidas por l</w:t>
      </w:r>
      <w:r w:rsidR="00DC4C77">
        <w:rPr>
          <w:rFonts w:ascii="Arial" w:hAnsi="Arial" w:cs="Arial"/>
        </w:rPr>
        <w:t>as</w:t>
      </w:r>
      <w:r w:rsidR="00D36BB3">
        <w:rPr>
          <w:rFonts w:ascii="Arial" w:hAnsi="Arial" w:cs="Arial"/>
        </w:rPr>
        <w:t xml:space="preserve"> </w:t>
      </w:r>
      <w:r w:rsidR="00DC4C77">
        <w:rPr>
          <w:rFonts w:ascii="Arial" w:hAnsi="Arial" w:cs="Arial"/>
        </w:rPr>
        <w:t xml:space="preserve">acciones </w:t>
      </w:r>
      <w:r w:rsidR="00D36BB3">
        <w:rPr>
          <w:rFonts w:ascii="Arial" w:hAnsi="Arial" w:cs="Arial"/>
        </w:rPr>
        <w:t>populares</w:t>
      </w:r>
      <w:r w:rsidR="00DC4C77">
        <w:rPr>
          <w:rFonts w:ascii="Arial" w:hAnsi="Arial" w:cs="Arial"/>
        </w:rPr>
        <w:t xml:space="preserve"> </w:t>
      </w:r>
      <w:r w:rsidRPr="00424EA4">
        <w:rPr>
          <w:rFonts w:ascii="Arial" w:hAnsi="Arial" w:cs="Arial"/>
        </w:rPr>
        <w:t>(pactos de cumplimiento)</w:t>
      </w:r>
      <w:r w:rsidR="00D36BB3">
        <w:rPr>
          <w:rFonts w:ascii="Arial" w:hAnsi="Arial" w:cs="Arial"/>
        </w:rPr>
        <w:t>, que representan el 15.4%.</w:t>
      </w:r>
    </w:p>
    <w:p w14:paraId="66475393" w14:textId="64AA93BB" w:rsidR="003C6EE8" w:rsidRPr="00424EA4" w:rsidRDefault="003C6EE8" w:rsidP="003C6EE8">
      <w:pPr>
        <w:spacing w:line="278" w:lineRule="auto"/>
        <w:jc w:val="both"/>
        <w:rPr>
          <w:rFonts w:ascii="Arial" w:hAnsi="Arial" w:cs="Arial"/>
        </w:rPr>
      </w:pPr>
      <w:r w:rsidRPr="00424EA4">
        <w:rPr>
          <w:rFonts w:ascii="Arial" w:hAnsi="Arial" w:cs="Arial"/>
        </w:rPr>
        <w:t xml:space="preserve">Este comportamiento demuestra que la litigiosidad actual contra la </w:t>
      </w:r>
      <w:r w:rsidR="00344166">
        <w:rPr>
          <w:rFonts w:ascii="Arial" w:hAnsi="Arial" w:cs="Arial"/>
        </w:rPr>
        <w:t>entidad</w:t>
      </w:r>
      <w:r w:rsidRPr="00424EA4">
        <w:rPr>
          <w:rFonts w:ascii="Arial" w:hAnsi="Arial" w:cs="Arial"/>
        </w:rPr>
        <w:t xml:space="preserve"> se origina primordialmente </w:t>
      </w:r>
      <w:r>
        <w:rPr>
          <w:rFonts w:ascii="Arial" w:hAnsi="Arial" w:cs="Arial"/>
        </w:rPr>
        <w:t xml:space="preserve">en </w:t>
      </w:r>
      <w:r w:rsidRPr="00424EA4">
        <w:rPr>
          <w:rFonts w:ascii="Arial" w:hAnsi="Arial" w:cs="Arial"/>
        </w:rPr>
        <w:t xml:space="preserve">reclamaciones por presuntos daños antijurídicos derivados de la </w:t>
      </w:r>
      <w:r>
        <w:rPr>
          <w:rFonts w:ascii="Arial" w:hAnsi="Arial" w:cs="Arial"/>
        </w:rPr>
        <w:t>actividad legislativa.</w:t>
      </w:r>
    </w:p>
    <w:p w14:paraId="595E2430" w14:textId="2B96E134" w:rsidR="003C6EE8" w:rsidRPr="00424EA4" w:rsidRDefault="003C6EE8" w:rsidP="00344166">
      <w:pPr>
        <w:pStyle w:val="Prrafodelista"/>
        <w:numPr>
          <w:ilvl w:val="2"/>
          <w:numId w:val="35"/>
        </w:numPr>
        <w:spacing w:line="278" w:lineRule="auto"/>
        <w:jc w:val="both"/>
        <w:rPr>
          <w:rFonts w:ascii="Arial" w:hAnsi="Arial" w:cs="Arial"/>
          <w:b/>
          <w:bCs/>
        </w:rPr>
      </w:pPr>
      <w:r w:rsidRPr="00424EA4">
        <w:rPr>
          <w:rFonts w:ascii="Arial" w:hAnsi="Arial" w:cs="Arial"/>
          <w:b/>
          <w:bCs/>
        </w:rPr>
        <w:t xml:space="preserve">Decisiones </w:t>
      </w:r>
      <w:r>
        <w:rPr>
          <w:rFonts w:ascii="Arial" w:hAnsi="Arial" w:cs="Arial"/>
          <w:b/>
          <w:bCs/>
        </w:rPr>
        <w:t>e</w:t>
      </w:r>
      <w:r w:rsidRPr="00424EA4">
        <w:rPr>
          <w:rFonts w:ascii="Arial" w:hAnsi="Arial" w:cs="Arial"/>
          <w:b/>
          <w:bCs/>
        </w:rPr>
        <w:t xml:space="preserve">stratégicas e </w:t>
      </w:r>
      <w:r>
        <w:rPr>
          <w:rFonts w:ascii="Arial" w:hAnsi="Arial" w:cs="Arial"/>
          <w:b/>
          <w:bCs/>
        </w:rPr>
        <w:t>i</w:t>
      </w:r>
      <w:r w:rsidRPr="00424EA4">
        <w:rPr>
          <w:rFonts w:ascii="Arial" w:hAnsi="Arial" w:cs="Arial"/>
          <w:b/>
          <w:bCs/>
        </w:rPr>
        <w:t xml:space="preserve">mportantes del </w:t>
      </w:r>
      <w:r>
        <w:rPr>
          <w:rFonts w:ascii="Arial" w:hAnsi="Arial" w:cs="Arial"/>
          <w:b/>
          <w:bCs/>
        </w:rPr>
        <w:t>p</w:t>
      </w:r>
      <w:r w:rsidRPr="00424EA4">
        <w:rPr>
          <w:rFonts w:ascii="Arial" w:hAnsi="Arial" w:cs="Arial"/>
          <w:b/>
          <w:bCs/>
        </w:rPr>
        <w:t>eriodo</w:t>
      </w:r>
    </w:p>
    <w:p w14:paraId="0B9F33F6" w14:textId="674E33E5" w:rsidR="003C6EE8" w:rsidRPr="00424EA4" w:rsidRDefault="003C6EE8" w:rsidP="003C6EE8">
      <w:pPr>
        <w:spacing w:line="278" w:lineRule="auto"/>
        <w:jc w:val="both"/>
        <w:rPr>
          <w:rFonts w:ascii="Arial" w:hAnsi="Arial" w:cs="Arial"/>
        </w:rPr>
      </w:pPr>
      <w:r w:rsidRPr="00424EA4">
        <w:rPr>
          <w:rFonts w:ascii="Arial" w:hAnsi="Arial" w:cs="Arial"/>
        </w:rPr>
        <w:t xml:space="preserve">El Comité adoptó una postura unánime y rigurosa de </w:t>
      </w:r>
      <w:r w:rsidR="00344166" w:rsidRPr="00424EA4">
        <w:rPr>
          <w:rFonts w:ascii="Arial" w:hAnsi="Arial" w:cs="Arial"/>
          <w:b/>
          <w:bCs/>
        </w:rPr>
        <w:t>NO CONCILIACIÓN</w:t>
      </w:r>
      <w:r w:rsidR="00344166" w:rsidRPr="00424EA4">
        <w:rPr>
          <w:rFonts w:ascii="Arial" w:hAnsi="Arial" w:cs="Arial"/>
        </w:rPr>
        <w:t xml:space="preserve"> </w:t>
      </w:r>
      <w:r w:rsidRPr="00424EA4">
        <w:rPr>
          <w:rFonts w:ascii="Arial" w:hAnsi="Arial" w:cs="Arial"/>
        </w:rPr>
        <w:t xml:space="preserve">en el 100% de los casos evaluados (tanto en sedes judiciales como extrajudiciales), así como la determinación de </w:t>
      </w:r>
      <w:r w:rsidR="00344166" w:rsidRPr="00424EA4">
        <w:rPr>
          <w:rFonts w:ascii="Arial" w:hAnsi="Arial" w:cs="Arial"/>
          <w:b/>
          <w:bCs/>
        </w:rPr>
        <w:t xml:space="preserve">NO </w:t>
      </w:r>
      <w:r w:rsidR="00D36BB3">
        <w:rPr>
          <w:rFonts w:ascii="Arial" w:hAnsi="Arial" w:cs="Arial"/>
          <w:b/>
          <w:bCs/>
        </w:rPr>
        <w:t>PACTAR</w:t>
      </w:r>
      <w:r w:rsidR="00344166" w:rsidRPr="00424EA4">
        <w:rPr>
          <w:rFonts w:ascii="Arial" w:hAnsi="Arial" w:cs="Arial"/>
          <w:b/>
          <w:bCs/>
        </w:rPr>
        <w:t xml:space="preserve"> DE CUMPLIMIENTO</w:t>
      </w:r>
      <w:r w:rsidR="00344166" w:rsidRPr="00424EA4">
        <w:rPr>
          <w:rFonts w:ascii="Arial" w:hAnsi="Arial" w:cs="Arial"/>
        </w:rPr>
        <w:t xml:space="preserve"> </w:t>
      </w:r>
      <w:r w:rsidRPr="00424EA4">
        <w:rPr>
          <w:rFonts w:ascii="Arial" w:hAnsi="Arial" w:cs="Arial"/>
        </w:rPr>
        <w:t>en la</w:t>
      </w:r>
      <w:r w:rsidR="00DC4C77">
        <w:rPr>
          <w:rFonts w:ascii="Arial" w:hAnsi="Arial" w:cs="Arial"/>
        </w:rPr>
        <w:t>s</w:t>
      </w:r>
      <w:r w:rsidRPr="00424EA4">
        <w:rPr>
          <w:rFonts w:ascii="Arial" w:hAnsi="Arial" w:cs="Arial"/>
        </w:rPr>
        <w:t xml:space="preserve"> acci</w:t>
      </w:r>
      <w:r w:rsidR="00657494">
        <w:rPr>
          <w:rFonts w:ascii="Arial" w:hAnsi="Arial" w:cs="Arial"/>
        </w:rPr>
        <w:t>o</w:t>
      </w:r>
      <w:r w:rsidRPr="00424EA4">
        <w:rPr>
          <w:rFonts w:ascii="Arial" w:hAnsi="Arial" w:cs="Arial"/>
        </w:rPr>
        <w:t>n</w:t>
      </w:r>
      <w:r w:rsidR="00657494">
        <w:rPr>
          <w:rFonts w:ascii="Arial" w:hAnsi="Arial" w:cs="Arial"/>
        </w:rPr>
        <w:t>es</w:t>
      </w:r>
      <w:r w:rsidRPr="00424EA4">
        <w:rPr>
          <w:rFonts w:ascii="Arial" w:hAnsi="Arial" w:cs="Arial"/>
        </w:rPr>
        <w:t xml:space="preserve"> </w:t>
      </w:r>
      <w:r w:rsidR="00DC4C77">
        <w:rPr>
          <w:rFonts w:ascii="Arial" w:hAnsi="Arial" w:cs="Arial"/>
        </w:rPr>
        <w:t xml:space="preserve">constitucionales </w:t>
      </w:r>
      <w:r w:rsidR="00DC4C77">
        <w:rPr>
          <w:rFonts w:ascii="Arial" w:hAnsi="Arial" w:cs="Arial"/>
        </w:rPr>
        <w:lastRenderedPageBreak/>
        <w:t>estudiadas</w:t>
      </w:r>
      <w:r w:rsidRPr="00424EA4">
        <w:rPr>
          <w:rFonts w:ascii="Arial" w:hAnsi="Arial" w:cs="Arial"/>
        </w:rPr>
        <w:t>. Estas determinaciones se fundamentaron técnicamente en los siguientes criterios:</w:t>
      </w:r>
    </w:p>
    <w:p w14:paraId="759914C5" w14:textId="77777777" w:rsidR="003C6EE8" w:rsidRPr="00424EA4" w:rsidRDefault="003C6EE8" w:rsidP="003C6EE8">
      <w:pPr>
        <w:numPr>
          <w:ilvl w:val="0"/>
          <w:numId w:val="17"/>
        </w:numPr>
        <w:spacing w:line="278" w:lineRule="auto"/>
        <w:jc w:val="both"/>
        <w:rPr>
          <w:rFonts w:ascii="Arial" w:hAnsi="Arial" w:cs="Arial"/>
        </w:rPr>
      </w:pPr>
      <w:r w:rsidRPr="00424EA4">
        <w:rPr>
          <w:rFonts w:ascii="Arial" w:hAnsi="Arial" w:cs="Arial"/>
          <w:b/>
          <w:bCs/>
        </w:rPr>
        <w:t xml:space="preserve">Ausencia de </w:t>
      </w:r>
      <w:r>
        <w:rPr>
          <w:rFonts w:ascii="Arial" w:hAnsi="Arial" w:cs="Arial"/>
          <w:b/>
          <w:bCs/>
        </w:rPr>
        <w:t>r</w:t>
      </w:r>
      <w:r w:rsidRPr="00424EA4">
        <w:rPr>
          <w:rFonts w:ascii="Arial" w:hAnsi="Arial" w:cs="Arial"/>
          <w:b/>
          <w:bCs/>
        </w:rPr>
        <w:t xml:space="preserve">esponsabilidad </w:t>
      </w:r>
      <w:r>
        <w:rPr>
          <w:rFonts w:ascii="Arial" w:hAnsi="Arial" w:cs="Arial"/>
          <w:b/>
          <w:bCs/>
        </w:rPr>
        <w:t>i</w:t>
      </w:r>
      <w:r w:rsidRPr="00424EA4">
        <w:rPr>
          <w:rFonts w:ascii="Arial" w:hAnsi="Arial" w:cs="Arial"/>
          <w:b/>
          <w:bCs/>
        </w:rPr>
        <w:t>nstitucional:</w:t>
      </w:r>
      <w:r w:rsidRPr="00424EA4">
        <w:rPr>
          <w:rFonts w:ascii="Arial" w:hAnsi="Arial" w:cs="Arial"/>
        </w:rPr>
        <w:t xml:space="preserve"> </w:t>
      </w:r>
      <w:r>
        <w:rPr>
          <w:rFonts w:ascii="Arial" w:hAnsi="Arial" w:cs="Arial"/>
        </w:rPr>
        <w:t>El</w:t>
      </w:r>
      <w:r w:rsidRPr="00424EA4">
        <w:rPr>
          <w:rFonts w:ascii="Arial" w:hAnsi="Arial" w:cs="Arial"/>
        </w:rPr>
        <w:t xml:space="preserve"> examen detallado de los antecedentes fácticos y jurídicos de los casos, determinó de manera reiterada la configuración de la </w:t>
      </w:r>
      <w:r w:rsidRPr="00424EA4">
        <w:rPr>
          <w:rFonts w:ascii="Arial" w:hAnsi="Arial" w:cs="Arial"/>
          <w:b/>
          <w:bCs/>
        </w:rPr>
        <w:t>falta de legitimación en la causa por pasiva</w:t>
      </w:r>
      <w:r w:rsidRPr="00424EA4">
        <w:rPr>
          <w:rFonts w:ascii="Arial" w:hAnsi="Arial" w:cs="Arial"/>
        </w:rPr>
        <w:t xml:space="preserve"> del Senado de la República. Toda vez que las acciones u omisiones demandadas correspondían a la órbita de competencias de otras autoridades o entidades públicas ajenas a la corporación, quedó plenamente demostrada la </w:t>
      </w:r>
      <w:r w:rsidRPr="00424EA4">
        <w:rPr>
          <w:rFonts w:ascii="Arial" w:hAnsi="Arial" w:cs="Arial"/>
          <w:b/>
          <w:bCs/>
        </w:rPr>
        <w:t>inexistencia de fallas en el servicio</w:t>
      </w:r>
      <w:r w:rsidRPr="00424EA4">
        <w:rPr>
          <w:rFonts w:ascii="Arial" w:hAnsi="Arial" w:cs="Arial"/>
        </w:rPr>
        <w:t xml:space="preserve"> imputables a esta entidad y, por ende, la </w:t>
      </w:r>
      <w:r w:rsidRPr="00424EA4">
        <w:rPr>
          <w:rFonts w:ascii="Arial" w:hAnsi="Arial" w:cs="Arial"/>
          <w:b/>
          <w:bCs/>
        </w:rPr>
        <w:t>ruptura y total ausencia del nexo de causalidad</w:t>
      </w:r>
      <w:r w:rsidRPr="00424EA4">
        <w:rPr>
          <w:rFonts w:ascii="Arial" w:hAnsi="Arial" w:cs="Arial"/>
        </w:rPr>
        <w:t xml:space="preserve"> necesario para comprometer el patrimonio del Senado.</w:t>
      </w:r>
    </w:p>
    <w:p w14:paraId="0CBEB072" w14:textId="77777777" w:rsidR="003C6EE8" w:rsidRPr="00424EA4" w:rsidRDefault="003C6EE8" w:rsidP="003C6EE8">
      <w:pPr>
        <w:numPr>
          <w:ilvl w:val="0"/>
          <w:numId w:val="17"/>
        </w:numPr>
        <w:spacing w:line="278" w:lineRule="auto"/>
        <w:jc w:val="both"/>
        <w:rPr>
          <w:rFonts w:ascii="Arial" w:hAnsi="Arial" w:cs="Arial"/>
        </w:rPr>
      </w:pPr>
      <w:r w:rsidRPr="00424EA4">
        <w:rPr>
          <w:rFonts w:ascii="Arial" w:hAnsi="Arial" w:cs="Arial"/>
          <w:b/>
          <w:bCs/>
        </w:rPr>
        <w:t xml:space="preserve">Falta de </w:t>
      </w:r>
      <w:r>
        <w:rPr>
          <w:rFonts w:ascii="Arial" w:hAnsi="Arial" w:cs="Arial"/>
          <w:b/>
          <w:bCs/>
        </w:rPr>
        <w:t>s</w:t>
      </w:r>
      <w:r w:rsidRPr="00424EA4">
        <w:rPr>
          <w:rFonts w:ascii="Arial" w:hAnsi="Arial" w:cs="Arial"/>
          <w:b/>
          <w:bCs/>
        </w:rPr>
        <w:t xml:space="preserve">oporte </w:t>
      </w:r>
      <w:r>
        <w:rPr>
          <w:rFonts w:ascii="Arial" w:hAnsi="Arial" w:cs="Arial"/>
          <w:b/>
          <w:bCs/>
        </w:rPr>
        <w:t>p</w:t>
      </w:r>
      <w:r w:rsidRPr="00424EA4">
        <w:rPr>
          <w:rFonts w:ascii="Arial" w:hAnsi="Arial" w:cs="Arial"/>
          <w:b/>
          <w:bCs/>
        </w:rPr>
        <w:t>robatorio:</w:t>
      </w:r>
      <w:r w:rsidRPr="00424EA4">
        <w:rPr>
          <w:rFonts w:ascii="Arial" w:hAnsi="Arial" w:cs="Arial"/>
        </w:rPr>
        <w:t xml:space="preserve"> Las solicitudes de los convocantes y demandantes carecían del nexo causal necesario y del sustento probatorio idóneo para comprometer patrimonialmente a la entidad.</w:t>
      </w:r>
    </w:p>
    <w:p w14:paraId="0A83C807" w14:textId="77777777" w:rsidR="003C6EE8" w:rsidRPr="00424EA4" w:rsidRDefault="003C6EE8" w:rsidP="003C6EE8">
      <w:pPr>
        <w:numPr>
          <w:ilvl w:val="0"/>
          <w:numId w:val="17"/>
        </w:numPr>
        <w:spacing w:line="278" w:lineRule="auto"/>
        <w:jc w:val="both"/>
        <w:rPr>
          <w:rFonts w:ascii="Arial" w:hAnsi="Arial" w:cs="Arial"/>
        </w:rPr>
      </w:pPr>
      <w:r w:rsidRPr="00424EA4">
        <w:rPr>
          <w:rFonts w:ascii="Arial" w:hAnsi="Arial" w:cs="Arial"/>
          <w:b/>
          <w:bCs/>
        </w:rPr>
        <w:t xml:space="preserve">Alineación con </w:t>
      </w:r>
      <w:r>
        <w:rPr>
          <w:rFonts w:ascii="Arial" w:hAnsi="Arial" w:cs="Arial"/>
          <w:b/>
          <w:bCs/>
        </w:rPr>
        <w:t>p</w:t>
      </w:r>
      <w:r w:rsidRPr="00424EA4">
        <w:rPr>
          <w:rFonts w:ascii="Arial" w:hAnsi="Arial" w:cs="Arial"/>
          <w:b/>
          <w:bCs/>
        </w:rPr>
        <w:t xml:space="preserve">recedentes </w:t>
      </w:r>
      <w:r>
        <w:rPr>
          <w:rFonts w:ascii="Arial" w:hAnsi="Arial" w:cs="Arial"/>
          <w:b/>
          <w:bCs/>
        </w:rPr>
        <w:t>j</w:t>
      </w:r>
      <w:r w:rsidRPr="00424EA4">
        <w:rPr>
          <w:rFonts w:ascii="Arial" w:hAnsi="Arial" w:cs="Arial"/>
          <w:b/>
          <w:bCs/>
        </w:rPr>
        <w:t>udiciales:</w:t>
      </w:r>
      <w:r w:rsidRPr="00424EA4">
        <w:rPr>
          <w:rFonts w:ascii="Arial" w:hAnsi="Arial" w:cs="Arial"/>
        </w:rPr>
        <w:t xml:space="preserve"> Se aplicaron de manera estricta las líneas jurisprudenciales del Consejo de Estado y las metodologías de defensa judicial de la Agencia Nacional de Defensa Jurídica del Estado (ANDJE), concluyendo que ceder a las pretensiones resultaría lesivo para los intereses de la nación.</w:t>
      </w:r>
    </w:p>
    <w:p w14:paraId="7C9D7A5F" w14:textId="5AAC5111" w:rsidR="003C6EE8" w:rsidRPr="00424EA4" w:rsidRDefault="00344166" w:rsidP="00344166">
      <w:pPr>
        <w:pStyle w:val="Prrafodelista"/>
        <w:numPr>
          <w:ilvl w:val="2"/>
          <w:numId w:val="35"/>
        </w:numPr>
        <w:spacing w:line="278" w:lineRule="auto"/>
        <w:jc w:val="both"/>
        <w:rPr>
          <w:rFonts w:ascii="Arial" w:hAnsi="Arial" w:cs="Arial"/>
          <w:b/>
          <w:bCs/>
        </w:rPr>
      </w:pPr>
      <w:r>
        <w:rPr>
          <w:rFonts w:ascii="Arial" w:hAnsi="Arial" w:cs="Arial"/>
          <w:b/>
          <w:bCs/>
        </w:rPr>
        <w:t>I</w:t>
      </w:r>
      <w:r w:rsidRPr="00424EA4">
        <w:rPr>
          <w:rFonts w:ascii="Arial" w:hAnsi="Arial" w:cs="Arial"/>
          <w:b/>
          <w:bCs/>
        </w:rPr>
        <w:t>mpacto financiero y contingencia patrimonial evitada (ahorro)</w:t>
      </w:r>
    </w:p>
    <w:p w14:paraId="406C99CE" w14:textId="67BB90AB" w:rsidR="003C6EE8" w:rsidRPr="00424EA4" w:rsidRDefault="003C6EE8" w:rsidP="003C6EE8">
      <w:pPr>
        <w:spacing w:line="278" w:lineRule="auto"/>
        <w:jc w:val="both"/>
        <w:rPr>
          <w:rFonts w:ascii="Arial" w:hAnsi="Arial" w:cs="Arial"/>
        </w:rPr>
      </w:pPr>
      <w:r w:rsidRPr="00424EA4">
        <w:rPr>
          <w:rFonts w:ascii="Arial" w:hAnsi="Arial" w:cs="Arial"/>
        </w:rPr>
        <w:t>El análisis del impacto económico se calcula a partir de las cuantías estimadas y reclamadas por los demandantes</w:t>
      </w:r>
      <w:r w:rsidR="00344166">
        <w:rPr>
          <w:rFonts w:ascii="Arial" w:hAnsi="Arial" w:cs="Arial"/>
        </w:rPr>
        <w:t xml:space="preserve"> o convocantes</w:t>
      </w:r>
      <w:r w:rsidRPr="00424EA4">
        <w:rPr>
          <w:rFonts w:ascii="Arial" w:hAnsi="Arial" w:cs="Arial"/>
        </w:rPr>
        <w:t>. El consolidado de la gestión financiera arrojó los siguientes resultados:</w:t>
      </w:r>
    </w:p>
    <w:p w14:paraId="21554117" w14:textId="51EB8B8C" w:rsidR="003C6EE8" w:rsidRPr="00424EA4" w:rsidRDefault="003C6EE8" w:rsidP="003C6EE8">
      <w:pPr>
        <w:numPr>
          <w:ilvl w:val="0"/>
          <w:numId w:val="18"/>
        </w:numPr>
        <w:spacing w:line="278" w:lineRule="auto"/>
        <w:jc w:val="both"/>
        <w:rPr>
          <w:rFonts w:ascii="Arial" w:hAnsi="Arial" w:cs="Arial"/>
        </w:rPr>
      </w:pPr>
      <w:r w:rsidRPr="00424EA4">
        <w:rPr>
          <w:rFonts w:ascii="Arial" w:hAnsi="Arial" w:cs="Arial"/>
          <w:b/>
          <w:bCs/>
        </w:rPr>
        <w:t xml:space="preserve">Pretensiones </w:t>
      </w:r>
      <w:r w:rsidRPr="00C42D3E">
        <w:rPr>
          <w:rFonts w:ascii="Arial" w:hAnsi="Arial" w:cs="Arial"/>
          <w:b/>
          <w:bCs/>
        </w:rPr>
        <w:t>t</w:t>
      </w:r>
      <w:r w:rsidRPr="00424EA4">
        <w:rPr>
          <w:rFonts w:ascii="Arial" w:hAnsi="Arial" w:cs="Arial"/>
          <w:b/>
          <w:bCs/>
        </w:rPr>
        <w:t xml:space="preserve">otales </w:t>
      </w:r>
      <w:r w:rsidRPr="00C42D3E">
        <w:rPr>
          <w:rFonts w:ascii="Arial" w:hAnsi="Arial" w:cs="Arial"/>
          <w:b/>
          <w:bCs/>
        </w:rPr>
        <w:t>e</w:t>
      </w:r>
      <w:r w:rsidRPr="00424EA4">
        <w:rPr>
          <w:rFonts w:ascii="Arial" w:hAnsi="Arial" w:cs="Arial"/>
          <w:b/>
          <w:bCs/>
        </w:rPr>
        <w:t>valuadas</w:t>
      </w:r>
      <w:r w:rsidR="00657494">
        <w:rPr>
          <w:rFonts w:ascii="Arial" w:hAnsi="Arial" w:cs="Arial"/>
          <w:b/>
          <w:bCs/>
        </w:rPr>
        <w:t xml:space="preserve"> - a</w:t>
      </w:r>
      <w:r w:rsidR="00657494" w:rsidRPr="00424EA4">
        <w:rPr>
          <w:rFonts w:ascii="Arial" w:hAnsi="Arial" w:cs="Arial"/>
          <w:b/>
          <w:bCs/>
        </w:rPr>
        <w:t xml:space="preserve">horro </w:t>
      </w:r>
      <w:r w:rsidR="00657494">
        <w:rPr>
          <w:rFonts w:ascii="Arial" w:hAnsi="Arial" w:cs="Arial"/>
          <w:b/>
          <w:bCs/>
        </w:rPr>
        <w:t>c</w:t>
      </w:r>
      <w:r w:rsidR="00657494" w:rsidRPr="00424EA4">
        <w:rPr>
          <w:rFonts w:ascii="Arial" w:hAnsi="Arial" w:cs="Arial"/>
          <w:b/>
          <w:bCs/>
        </w:rPr>
        <w:t xml:space="preserve">ontingente </w:t>
      </w:r>
      <w:r w:rsidR="00657494">
        <w:rPr>
          <w:rFonts w:ascii="Arial" w:hAnsi="Arial" w:cs="Arial"/>
          <w:b/>
          <w:bCs/>
        </w:rPr>
        <w:t>e</w:t>
      </w:r>
      <w:r w:rsidR="00657494" w:rsidRPr="00424EA4">
        <w:rPr>
          <w:rFonts w:ascii="Arial" w:hAnsi="Arial" w:cs="Arial"/>
          <w:b/>
          <w:bCs/>
        </w:rPr>
        <w:t>stimado</w:t>
      </w:r>
      <w:r w:rsidRPr="00424EA4">
        <w:rPr>
          <w:rFonts w:ascii="Arial" w:hAnsi="Arial" w:cs="Arial"/>
          <w:b/>
          <w:bCs/>
        </w:rPr>
        <w:t>:</w:t>
      </w:r>
      <w:r w:rsidRPr="00424EA4">
        <w:rPr>
          <w:rFonts w:ascii="Arial" w:hAnsi="Arial" w:cs="Arial"/>
        </w:rPr>
        <w:t xml:space="preserve"> El valor total global de las pretensiones económicas de las </w:t>
      </w:r>
      <w:r w:rsidR="00D36BB3">
        <w:rPr>
          <w:rFonts w:ascii="Arial" w:hAnsi="Arial" w:cs="Arial"/>
        </w:rPr>
        <w:t>13</w:t>
      </w:r>
      <w:r w:rsidRPr="00424EA4">
        <w:rPr>
          <w:rFonts w:ascii="Arial" w:hAnsi="Arial" w:cs="Arial"/>
        </w:rPr>
        <w:t xml:space="preserve"> solicitudes sometidas a estudio del Comité ascendió a la suma de </w:t>
      </w:r>
      <w:r w:rsidRPr="00C42D3E">
        <w:rPr>
          <w:rFonts w:ascii="Arial" w:hAnsi="Arial" w:cs="Arial"/>
          <w:b/>
          <w:bCs/>
        </w:rPr>
        <w:t>$</w:t>
      </w:r>
      <w:r w:rsidR="000B5B4E" w:rsidRPr="000B5B4E">
        <w:rPr>
          <w:rFonts w:ascii="Arial" w:hAnsi="Arial" w:cs="Arial"/>
          <w:b/>
          <w:bCs/>
        </w:rPr>
        <w:t>251</w:t>
      </w:r>
      <w:r w:rsidR="000B5B4E">
        <w:rPr>
          <w:rFonts w:ascii="Arial" w:hAnsi="Arial" w:cs="Arial"/>
          <w:b/>
          <w:bCs/>
        </w:rPr>
        <w:t>.</w:t>
      </w:r>
      <w:r w:rsidR="000B5B4E" w:rsidRPr="000B5B4E">
        <w:rPr>
          <w:rFonts w:ascii="Arial" w:hAnsi="Arial" w:cs="Arial"/>
          <w:b/>
          <w:bCs/>
        </w:rPr>
        <w:t>551</w:t>
      </w:r>
      <w:r w:rsidR="000B5B4E">
        <w:rPr>
          <w:rFonts w:ascii="Arial" w:hAnsi="Arial" w:cs="Arial"/>
          <w:b/>
          <w:bCs/>
        </w:rPr>
        <w:t>.</w:t>
      </w:r>
      <w:r w:rsidR="000B5B4E" w:rsidRPr="000B5B4E">
        <w:rPr>
          <w:rFonts w:ascii="Arial" w:hAnsi="Arial" w:cs="Arial"/>
          <w:b/>
          <w:bCs/>
        </w:rPr>
        <w:t>107</w:t>
      </w:r>
      <w:r w:rsidR="000B5B4E">
        <w:rPr>
          <w:rFonts w:ascii="Arial" w:hAnsi="Arial" w:cs="Arial"/>
          <w:b/>
          <w:bCs/>
        </w:rPr>
        <w:t>.</w:t>
      </w:r>
      <w:r w:rsidR="000B5B4E" w:rsidRPr="000B5B4E">
        <w:rPr>
          <w:rFonts w:ascii="Arial" w:hAnsi="Arial" w:cs="Arial"/>
          <w:b/>
          <w:bCs/>
        </w:rPr>
        <w:t>434</w:t>
      </w:r>
      <w:r w:rsidR="000B5B4E">
        <w:rPr>
          <w:rFonts w:ascii="Arial" w:hAnsi="Arial" w:cs="Arial"/>
          <w:b/>
          <w:bCs/>
        </w:rPr>
        <w:t>,</w:t>
      </w:r>
      <w:r w:rsidR="000B5B4E" w:rsidRPr="000B5B4E">
        <w:rPr>
          <w:rFonts w:ascii="Arial" w:hAnsi="Arial" w:cs="Arial"/>
          <w:b/>
          <w:bCs/>
        </w:rPr>
        <w:t xml:space="preserve">41 </w:t>
      </w:r>
      <w:r w:rsidRPr="00424EA4">
        <w:rPr>
          <w:rFonts w:ascii="Arial" w:hAnsi="Arial" w:cs="Arial"/>
          <w:b/>
          <w:bCs/>
        </w:rPr>
        <w:t>m/cte</w:t>
      </w:r>
      <w:r w:rsidRPr="00424EA4">
        <w:rPr>
          <w:rFonts w:ascii="Arial" w:hAnsi="Arial" w:cs="Arial"/>
        </w:rPr>
        <w:t>.</w:t>
      </w:r>
      <w:r w:rsidR="00657494" w:rsidRPr="00657494">
        <w:rPr>
          <w:rFonts w:ascii="Arial" w:hAnsi="Arial" w:cs="Arial"/>
        </w:rPr>
        <w:t xml:space="preserve"> </w:t>
      </w:r>
      <w:r w:rsidR="00657494" w:rsidRPr="00424EA4">
        <w:rPr>
          <w:rFonts w:ascii="Arial" w:hAnsi="Arial" w:cs="Arial"/>
        </w:rPr>
        <w:t xml:space="preserve">Gracias a la aplicación rigurosa de la Política de Prevención del Daño Antijurídico y a las directrices de defensa judicial impartidas a los apoderados, se salvaguardó el presupuesto de la entidad, generando </w:t>
      </w:r>
      <w:r w:rsidR="00657494">
        <w:rPr>
          <w:rFonts w:ascii="Arial" w:hAnsi="Arial" w:cs="Arial"/>
        </w:rPr>
        <w:t>como</w:t>
      </w:r>
      <w:r w:rsidR="00657494" w:rsidRPr="00424EA4">
        <w:rPr>
          <w:rFonts w:ascii="Arial" w:hAnsi="Arial" w:cs="Arial"/>
        </w:rPr>
        <w:t xml:space="preserve"> beneficio económico o contingencia judicial contenida para el Senado</w:t>
      </w:r>
      <w:r w:rsidR="00657494">
        <w:rPr>
          <w:rFonts w:ascii="Arial" w:hAnsi="Arial" w:cs="Arial"/>
        </w:rPr>
        <w:t xml:space="preserve"> esta suma de dinero.</w:t>
      </w:r>
    </w:p>
    <w:p w14:paraId="5EAECD3F" w14:textId="1FA59378" w:rsidR="003C6EE8" w:rsidRPr="00424EA4" w:rsidRDefault="003C6EE8" w:rsidP="003C6EE8">
      <w:pPr>
        <w:numPr>
          <w:ilvl w:val="0"/>
          <w:numId w:val="18"/>
        </w:numPr>
        <w:spacing w:line="278" w:lineRule="auto"/>
        <w:jc w:val="both"/>
        <w:rPr>
          <w:rFonts w:ascii="Arial" w:hAnsi="Arial" w:cs="Arial"/>
        </w:rPr>
      </w:pPr>
      <w:r w:rsidRPr="00424EA4">
        <w:rPr>
          <w:rFonts w:ascii="Arial" w:hAnsi="Arial" w:cs="Arial"/>
          <w:b/>
          <w:bCs/>
        </w:rPr>
        <w:t xml:space="preserve">Sentido de las </w:t>
      </w:r>
      <w:r w:rsidRPr="00C42D3E">
        <w:rPr>
          <w:rFonts w:ascii="Arial" w:hAnsi="Arial" w:cs="Arial"/>
          <w:b/>
          <w:bCs/>
        </w:rPr>
        <w:t>d</w:t>
      </w:r>
      <w:r w:rsidRPr="00424EA4">
        <w:rPr>
          <w:rFonts w:ascii="Arial" w:hAnsi="Arial" w:cs="Arial"/>
          <w:b/>
          <w:bCs/>
        </w:rPr>
        <w:t>ecisiones (</w:t>
      </w:r>
      <w:r w:rsidR="00344166" w:rsidRPr="00424EA4">
        <w:rPr>
          <w:rFonts w:ascii="Arial" w:hAnsi="Arial" w:cs="Arial"/>
          <w:b/>
          <w:bCs/>
        </w:rPr>
        <w:t>no conciliación</w:t>
      </w:r>
      <w:r w:rsidRPr="00424EA4">
        <w:rPr>
          <w:rFonts w:ascii="Arial" w:hAnsi="Arial" w:cs="Arial"/>
          <w:b/>
          <w:bCs/>
        </w:rPr>
        <w:t>):</w:t>
      </w:r>
      <w:r w:rsidRPr="00424EA4">
        <w:rPr>
          <w:rFonts w:ascii="Arial" w:hAnsi="Arial" w:cs="Arial"/>
        </w:rPr>
        <w:t xml:space="preserve"> Al determinar que la entidad no debía conciliar debido a la solidez de sus argumentos de defensa, el Comité evitó de manera directa el desembolso o reconocimiento inmediato de acuerdos de pago.</w:t>
      </w:r>
    </w:p>
    <w:p w14:paraId="126086E3" w14:textId="77777777" w:rsidR="006A56CD" w:rsidRPr="006A56CD" w:rsidRDefault="006A56CD" w:rsidP="00657494">
      <w:pPr>
        <w:pStyle w:val="Sinespaciado"/>
      </w:pPr>
    </w:p>
    <w:p w14:paraId="6A07938C" w14:textId="77777777" w:rsidR="006A56CD" w:rsidRDefault="006A56CD" w:rsidP="006A56CD">
      <w:pPr>
        <w:pStyle w:val="Prrafodelista"/>
        <w:numPr>
          <w:ilvl w:val="0"/>
          <w:numId w:val="35"/>
        </w:numPr>
        <w:jc w:val="center"/>
        <w:rPr>
          <w:rFonts w:ascii="Arial" w:hAnsi="Arial" w:cs="Arial"/>
          <w:b/>
          <w:bCs/>
        </w:rPr>
      </w:pPr>
      <w:r w:rsidRPr="007D4636">
        <w:rPr>
          <w:rFonts w:ascii="Arial" w:hAnsi="Arial" w:cs="Arial"/>
          <w:b/>
          <w:bCs/>
        </w:rPr>
        <w:t>LOGROS Y CONCLUSIONES</w:t>
      </w:r>
      <w:r>
        <w:rPr>
          <w:rFonts w:ascii="Arial" w:hAnsi="Arial" w:cs="Arial"/>
          <w:b/>
          <w:bCs/>
        </w:rPr>
        <w:t xml:space="preserve"> </w:t>
      </w:r>
    </w:p>
    <w:p w14:paraId="3FB445E4" w14:textId="77777777" w:rsidR="006A56CD" w:rsidRDefault="006A56CD" w:rsidP="006A56CD">
      <w:pPr>
        <w:pStyle w:val="Prrafodelista"/>
        <w:ind w:left="1080"/>
        <w:rPr>
          <w:rFonts w:ascii="Arial" w:hAnsi="Arial" w:cs="Arial"/>
          <w:b/>
          <w:bCs/>
        </w:rPr>
      </w:pPr>
    </w:p>
    <w:p w14:paraId="095FD48D" w14:textId="72015120" w:rsidR="006A56CD" w:rsidRPr="007D4636" w:rsidRDefault="006A56CD" w:rsidP="006A56CD">
      <w:pPr>
        <w:jc w:val="both"/>
        <w:rPr>
          <w:rFonts w:ascii="Arial" w:hAnsi="Arial" w:cs="Arial"/>
        </w:rPr>
      </w:pPr>
      <w:r w:rsidRPr="007D4636">
        <w:rPr>
          <w:rFonts w:ascii="Arial" w:hAnsi="Arial" w:cs="Arial"/>
        </w:rPr>
        <w:t xml:space="preserve">El Comité de Conciliación cumplió rigurosamente sus objetivos misionales de defender el patrimonio público y mitigar el riesgo legal de la corporación durante el </w:t>
      </w:r>
      <w:r w:rsidR="000B5B4E">
        <w:rPr>
          <w:rFonts w:ascii="Arial" w:hAnsi="Arial" w:cs="Arial"/>
        </w:rPr>
        <w:t>I semestre de 2026.</w:t>
      </w:r>
      <w:r>
        <w:rPr>
          <w:rFonts w:ascii="Arial" w:hAnsi="Arial" w:cs="Arial"/>
        </w:rPr>
        <w:t xml:space="preserve"> </w:t>
      </w:r>
      <w:r w:rsidRPr="007D4636">
        <w:rPr>
          <w:rFonts w:ascii="Arial" w:hAnsi="Arial" w:cs="Arial"/>
        </w:rPr>
        <w:t>A continuación, se destacan los principales resultados e impactos alcanzados:</w:t>
      </w:r>
    </w:p>
    <w:p w14:paraId="3C69D9AD" w14:textId="604C1D75" w:rsidR="006A56CD" w:rsidRPr="007D4636" w:rsidRDefault="006A56CD" w:rsidP="006A56CD">
      <w:pPr>
        <w:numPr>
          <w:ilvl w:val="0"/>
          <w:numId w:val="41"/>
        </w:numPr>
        <w:jc w:val="both"/>
        <w:rPr>
          <w:rFonts w:ascii="Arial" w:hAnsi="Arial" w:cs="Arial"/>
        </w:rPr>
      </w:pPr>
      <w:r w:rsidRPr="007D4636">
        <w:rPr>
          <w:rFonts w:ascii="Arial" w:hAnsi="Arial" w:cs="Arial"/>
        </w:rPr>
        <w:t xml:space="preserve">En respuesta a un escenario de litigiosidad de alto impacto, el Comité adoptó una postura firme y unánime de </w:t>
      </w:r>
      <w:r w:rsidRPr="00657494">
        <w:rPr>
          <w:rFonts w:ascii="Arial" w:hAnsi="Arial" w:cs="Arial"/>
          <w:b/>
          <w:bCs/>
        </w:rPr>
        <w:t>no conciliación en el 100% de los casos evaluados</w:t>
      </w:r>
      <w:r w:rsidRPr="007D4636">
        <w:rPr>
          <w:rFonts w:ascii="Arial" w:hAnsi="Arial" w:cs="Arial"/>
        </w:rPr>
        <w:t xml:space="preserve">. Esta determinación técnica (basada en la falta de responsabilidad institucional y la alineación con precedentes de las altas cortes) evitó de forma directa desembolsos inmediatos, salvaguardando el erario por una cuantía global de </w:t>
      </w:r>
      <w:r w:rsidRPr="00657494">
        <w:rPr>
          <w:rFonts w:ascii="Arial" w:hAnsi="Arial" w:cs="Arial"/>
          <w:b/>
          <w:bCs/>
        </w:rPr>
        <w:t>$</w:t>
      </w:r>
      <w:r w:rsidR="000B5B4E" w:rsidRPr="000B5B4E">
        <w:rPr>
          <w:rFonts w:ascii="Arial" w:hAnsi="Arial" w:cs="Arial"/>
          <w:b/>
          <w:bCs/>
        </w:rPr>
        <w:t>251</w:t>
      </w:r>
      <w:r w:rsidR="000B5B4E">
        <w:rPr>
          <w:rFonts w:ascii="Arial" w:hAnsi="Arial" w:cs="Arial"/>
          <w:b/>
          <w:bCs/>
        </w:rPr>
        <w:t>.</w:t>
      </w:r>
      <w:r w:rsidR="000B5B4E" w:rsidRPr="000B5B4E">
        <w:rPr>
          <w:rFonts w:ascii="Arial" w:hAnsi="Arial" w:cs="Arial"/>
          <w:b/>
          <w:bCs/>
        </w:rPr>
        <w:t>551</w:t>
      </w:r>
      <w:r w:rsidR="000B5B4E">
        <w:rPr>
          <w:rFonts w:ascii="Arial" w:hAnsi="Arial" w:cs="Arial"/>
          <w:b/>
          <w:bCs/>
        </w:rPr>
        <w:t>.</w:t>
      </w:r>
      <w:r w:rsidR="000B5B4E" w:rsidRPr="000B5B4E">
        <w:rPr>
          <w:rFonts w:ascii="Arial" w:hAnsi="Arial" w:cs="Arial"/>
          <w:b/>
          <w:bCs/>
        </w:rPr>
        <w:t>107</w:t>
      </w:r>
      <w:r w:rsidR="000B5B4E">
        <w:rPr>
          <w:rFonts w:ascii="Arial" w:hAnsi="Arial" w:cs="Arial"/>
          <w:b/>
          <w:bCs/>
        </w:rPr>
        <w:t>.</w:t>
      </w:r>
      <w:r w:rsidR="000B5B4E" w:rsidRPr="000B5B4E">
        <w:rPr>
          <w:rFonts w:ascii="Arial" w:hAnsi="Arial" w:cs="Arial"/>
          <w:b/>
          <w:bCs/>
        </w:rPr>
        <w:t>434</w:t>
      </w:r>
      <w:r w:rsidR="000B5B4E">
        <w:rPr>
          <w:rFonts w:ascii="Arial" w:hAnsi="Arial" w:cs="Arial"/>
          <w:b/>
          <w:bCs/>
        </w:rPr>
        <w:t>,</w:t>
      </w:r>
      <w:r w:rsidR="000B5B4E" w:rsidRPr="000B5B4E">
        <w:rPr>
          <w:rFonts w:ascii="Arial" w:hAnsi="Arial" w:cs="Arial"/>
          <w:b/>
          <w:bCs/>
        </w:rPr>
        <w:t>41</w:t>
      </w:r>
      <w:r w:rsidRPr="007D4636">
        <w:rPr>
          <w:rFonts w:ascii="Arial" w:hAnsi="Arial" w:cs="Arial"/>
        </w:rPr>
        <w:t xml:space="preserve">. </w:t>
      </w:r>
    </w:p>
    <w:p w14:paraId="43D09203" w14:textId="0AD88375" w:rsidR="006A56CD" w:rsidRPr="007D4636" w:rsidRDefault="006A56CD" w:rsidP="006A56CD">
      <w:pPr>
        <w:numPr>
          <w:ilvl w:val="0"/>
          <w:numId w:val="41"/>
        </w:numPr>
        <w:jc w:val="both"/>
        <w:rPr>
          <w:rFonts w:ascii="Arial" w:hAnsi="Arial" w:cs="Arial"/>
        </w:rPr>
      </w:pPr>
      <w:r w:rsidRPr="007D4636">
        <w:rPr>
          <w:rFonts w:ascii="Arial" w:hAnsi="Arial" w:cs="Arial"/>
        </w:rPr>
        <w:t xml:space="preserve">Durante </w:t>
      </w:r>
      <w:r w:rsidR="000B5B4E">
        <w:rPr>
          <w:rFonts w:ascii="Arial" w:hAnsi="Arial" w:cs="Arial"/>
        </w:rPr>
        <w:t>el semestre</w:t>
      </w:r>
      <w:r w:rsidRPr="007D4636">
        <w:rPr>
          <w:rFonts w:ascii="Arial" w:hAnsi="Arial" w:cs="Arial"/>
        </w:rPr>
        <w:t>, la gestión se enfocó estratégicamente en contener demandas formales de Reparación Directa en la vía judicial (</w:t>
      </w:r>
      <w:r w:rsidR="000B5B4E">
        <w:rPr>
          <w:rFonts w:ascii="Arial" w:hAnsi="Arial" w:cs="Arial"/>
        </w:rPr>
        <w:t>5</w:t>
      </w:r>
      <w:r w:rsidR="00F474DB">
        <w:rPr>
          <w:rFonts w:ascii="Arial" w:hAnsi="Arial" w:cs="Arial"/>
        </w:rPr>
        <w:t>4</w:t>
      </w:r>
      <w:r w:rsidRPr="007D4636">
        <w:rPr>
          <w:rFonts w:ascii="Arial" w:hAnsi="Arial" w:cs="Arial"/>
        </w:rPr>
        <w:t xml:space="preserve">% de la casuística). </w:t>
      </w:r>
    </w:p>
    <w:p w14:paraId="337E5548" w14:textId="10824317" w:rsidR="006A56CD" w:rsidRDefault="006A56CD" w:rsidP="006A56CD">
      <w:pPr>
        <w:numPr>
          <w:ilvl w:val="0"/>
          <w:numId w:val="41"/>
        </w:numPr>
        <w:jc w:val="both"/>
        <w:rPr>
          <w:rFonts w:ascii="Arial" w:hAnsi="Arial" w:cs="Arial"/>
        </w:rPr>
      </w:pPr>
      <w:r w:rsidRPr="007D4636">
        <w:rPr>
          <w:rFonts w:ascii="Arial" w:hAnsi="Arial" w:cs="Arial"/>
        </w:rPr>
        <w:lastRenderedPageBreak/>
        <w:t>Se garantizó el cumplimiento oportuno de fallos adversos y se avanzó en transacciones contractuales estratégicas para frenar la indexación de intereses de usura y neutralizar amenazas inminentes de embargos sobre las cuentas de la institución</w:t>
      </w:r>
      <w:r w:rsidR="008625B2">
        <w:rPr>
          <w:rFonts w:ascii="Arial" w:hAnsi="Arial" w:cs="Arial"/>
        </w:rPr>
        <w:t xml:space="preserve">, lo que representó un ahorro para la entidad de </w:t>
      </w:r>
      <w:r w:rsidR="008625B2" w:rsidRPr="008625B2">
        <w:rPr>
          <w:rFonts w:ascii="Arial" w:hAnsi="Arial" w:cs="Arial"/>
        </w:rPr>
        <w:t>$163.346.040</w:t>
      </w:r>
      <w:r w:rsidR="008625B2">
        <w:rPr>
          <w:rFonts w:ascii="Arial" w:hAnsi="Arial" w:cs="Arial"/>
        </w:rPr>
        <w:t>.</w:t>
      </w:r>
    </w:p>
    <w:p w14:paraId="109A7CFB" w14:textId="77777777" w:rsidR="006A56CD" w:rsidRDefault="006A56CD" w:rsidP="006A56CD">
      <w:pPr>
        <w:numPr>
          <w:ilvl w:val="0"/>
          <w:numId w:val="41"/>
        </w:numPr>
        <w:jc w:val="both"/>
        <w:rPr>
          <w:rFonts w:ascii="Arial" w:hAnsi="Arial" w:cs="Arial"/>
        </w:rPr>
      </w:pPr>
      <w:r w:rsidRPr="007D4636">
        <w:rPr>
          <w:rFonts w:ascii="Arial" w:hAnsi="Arial" w:cs="Arial"/>
        </w:rPr>
        <w:t xml:space="preserve">Se actualizó con éxito el marco normativo de la entidad bajo las directrices de la Ley 2220 de 2022, se diseñó la Política de Prevención para el bienio 2026–2027, y se atacaron causas raíz mediante mesas de trabajo operativas y la creación de guías objetivas para la selección de defensores judiciales externos. </w:t>
      </w:r>
    </w:p>
    <w:p w14:paraId="6C748E65" w14:textId="77777777" w:rsidR="00014000" w:rsidRDefault="00014000" w:rsidP="008D0659">
      <w:pPr>
        <w:spacing w:after="0" w:line="276" w:lineRule="auto"/>
        <w:jc w:val="both"/>
        <w:rPr>
          <w:rFonts w:ascii="Arial" w:hAnsi="Arial" w:cs="Arial"/>
          <w:sz w:val="16"/>
          <w:szCs w:val="16"/>
        </w:rPr>
      </w:pPr>
    </w:p>
    <w:p w14:paraId="46294DD2" w14:textId="77777777" w:rsidR="00014000" w:rsidRDefault="00014000" w:rsidP="008D0659">
      <w:pPr>
        <w:spacing w:after="0" w:line="276" w:lineRule="auto"/>
        <w:jc w:val="both"/>
        <w:rPr>
          <w:rFonts w:ascii="Arial" w:hAnsi="Arial" w:cs="Arial"/>
          <w:sz w:val="16"/>
          <w:szCs w:val="16"/>
        </w:rPr>
      </w:pPr>
    </w:p>
    <w:p w14:paraId="423B6C1A" w14:textId="4E87ADF4" w:rsidR="002A311C" w:rsidRDefault="003020A4" w:rsidP="008D0659">
      <w:pPr>
        <w:spacing w:after="0" w:line="276" w:lineRule="auto"/>
        <w:jc w:val="both"/>
        <w:rPr>
          <w:rFonts w:ascii="Arial" w:hAnsi="Arial" w:cs="Arial"/>
          <w:sz w:val="16"/>
          <w:szCs w:val="16"/>
        </w:rPr>
      </w:pPr>
      <w:r w:rsidRPr="007D4636">
        <w:rPr>
          <w:rFonts w:ascii="Arial" w:hAnsi="Arial" w:cs="Arial"/>
          <w:sz w:val="16"/>
          <w:szCs w:val="16"/>
        </w:rPr>
        <w:t xml:space="preserve">Elaboró Queenie Torrado Numa </w:t>
      </w:r>
      <w:r w:rsidR="00683032" w:rsidRPr="007D4636">
        <w:rPr>
          <w:rFonts w:ascii="Arial" w:hAnsi="Arial" w:cs="Arial"/>
          <w:sz w:val="16"/>
          <w:szCs w:val="16"/>
        </w:rPr>
        <w:t>-</w:t>
      </w:r>
      <w:r w:rsidRPr="007D4636">
        <w:rPr>
          <w:rFonts w:ascii="Arial" w:hAnsi="Arial" w:cs="Arial"/>
          <w:sz w:val="16"/>
          <w:szCs w:val="16"/>
        </w:rPr>
        <w:t xml:space="preserve"> Contratista DJ </w:t>
      </w:r>
      <w:r w:rsidR="00CD18EE" w:rsidRPr="007D4636">
        <w:rPr>
          <w:rFonts w:ascii="Arial" w:hAnsi="Arial" w:cs="Arial"/>
          <w:noProof/>
          <w:sz w:val="14"/>
          <w:szCs w:val="14"/>
        </w:rPr>
        <w:drawing>
          <wp:inline distT="0" distB="0" distL="0" distR="0" wp14:anchorId="218A21F3" wp14:editId="4B451EF3">
            <wp:extent cx="228600" cy="1524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p>
    <w:p w14:paraId="4FB48D05" w14:textId="77777777" w:rsidR="00FA1CA4" w:rsidRDefault="00FA1CA4" w:rsidP="008D0659">
      <w:pPr>
        <w:spacing w:after="0" w:line="276" w:lineRule="auto"/>
        <w:jc w:val="both"/>
        <w:rPr>
          <w:rFonts w:ascii="Arial" w:hAnsi="Arial" w:cs="Arial"/>
          <w:sz w:val="16"/>
          <w:szCs w:val="16"/>
        </w:rPr>
      </w:pPr>
    </w:p>
    <w:p w14:paraId="0A31EB7B" w14:textId="77777777" w:rsidR="00FA1CA4" w:rsidRDefault="00FA1CA4" w:rsidP="008D0659">
      <w:pPr>
        <w:spacing w:after="0" w:line="276" w:lineRule="auto"/>
        <w:jc w:val="both"/>
        <w:rPr>
          <w:rFonts w:ascii="Arial" w:hAnsi="Arial" w:cs="Arial"/>
          <w:sz w:val="16"/>
          <w:szCs w:val="16"/>
        </w:rPr>
      </w:pPr>
    </w:p>
    <w:sectPr w:rsidR="00FA1CA4" w:rsidSect="00622FDA">
      <w:headerReference w:type="default" r:id="rId11"/>
      <w:footerReference w:type="default" r:id="rId12"/>
      <w:pgSz w:w="12240" w:h="20160" w:code="5"/>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F040A" w14:textId="77777777" w:rsidR="00462893" w:rsidRDefault="00462893">
      <w:pPr>
        <w:spacing w:after="0" w:line="240" w:lineRule="auto"/>
      </w:pPr>
      <w:r>
        <w:separator/>
      </w:r>
    </w:p>
  </w:endnote>
  <w:endnote w:type="continuationSeparator" w:id="0">
    <w:p w14:paraId="2B531FF5" w14:textId="77777777" w:rsidR="00462893" w:rsidRDefault="00462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2B9D8" w14:textId="67DD3348" w:rsidR="00C87B84" w:rsidRDefault="00C87B84" w:rsidP="00AF3F5E">
    <w:pPr>
      <w:spacing w:after="0" w:line="240" w:lineRule="auto"/>
      <w:rPr>
        <w:rFonts w:cs="Arial"/>
        <w:sz w:val="21"/>
        <w:szCs w:val="21"/>
      </w:rPr>
    </w:pPr>
  </w:p>
  <w:p w14:paraId="61D046DE" w14:textId="2C055029" w:rsidR="00C87B84" w:rsidRDefault="00622FDA" w:rsidP="00AF3F5E">
    <w:pPr>
      <w:spacing w:after="0" w:line="240" w:lineRule="auto"/>
      <w:jc w:val="center"/>
      <w:rPr>
        <w:rFonts w:cs="Arial"/>
        <w:sz w:val="21"/>
        <w:szCs w:val="21"/>
      </w:rPr>
    </w:pPr>
    <w:r>
      <w:rPr>
        <w:noProof/>
        <w:lang w:val="es-CO" w:eastAsia="es-CO"/>
      </w:rPr>
      <w:drawing>
        <wp:anchor distT="0" distB="0" distL="114300" distR="114300" simplePos="0" relativeHeight="251659264" behindDoc="1" locked="0" layoutInCell="1" allowOverlap="1" wp14:anchorId="24E4C117" wp14:editId="4A744345">
          <wp:simplePos x="0" y="0"/>
          <wp:positionH relativeFrom="column">
            <wp:posOffset>1336979</wp:posOffset>
          </wp:positionH>
          <wp:positionV relativeFrom="paragraph">
            <wp:posOffset>105962</wp:posOffset>
          </wp:positionV>
          <wp:extent cx="2895600" cy="405130"/>
          <wp:effectExtent l="0" t="0" r="0" b="0"/>
          <wp:wrapTight wrapText="bothSides">
            <wp:wrapPolygon edited="0">
              <wp:start x="0" y="0"/>
              <wp:lineTo x="0" y="20313"/>
              <wp:lineTo x="21458" y="20313"/>
              <wp:lineTo x="21458" y="0"/>
              <wp:lineTo x="0" y="0"/>
            </wp:wrapPolygon>
          </wp:wrapTight>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22592"/>
                  <a:stretch/>
                </pic:blipFill>
                <pic:spPr bwMode="auto">
                  <a:xfrm>
                    <a:off x="0" y="0"/>
                    <a:ext cx="2895600" cy="40513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E3BA3B8" w14:textId="1419A73D" w:rsidR="00C87B84" w:rsidRDefault="00C87B84" w:rsidP="00AF3F5E">
    <w:pPr>
      <w:spacing w:after="0" w:line="240" w:lineRule="auto"/>
      <w:jc w:val="center"/>
      <w:rPr>
        <w:rFonts w:cs="Arial"/>
        <w:sz w:val="21"/>
        <w:szCs w:val="21"/>
      </w:rPr>
    </w:pPr>
  </w:p>
  <w:p w14:paraId="210480FE" w14:textId="5C681EFB" w:rsidR="00C87B84" w:rsidRDefault="00C87B84" w:rsidP="00AF3F5E">
    <w:pPr>
      <w:spacing w:after="0" w:line="240" w:lineRule="auto"/>
      <w:jc w:val="center"/>
      <w:rPr>
        <w:rFonts w:cs="Arial"/>
        <w:sz w:val="21"/>
        <w:szCs w:val="21"/>
      </w:rPr>
    </w:pPr>
  </w:p>
  <w:p w14:paraId="44D55E20" w14:textId="77777777" w:rsidR="00C87B84" w:rsidRPr="005C50B2" w:rsidRDefault="00C87B84" w:rsidP="00AF3F5E">
    <w:pPr>
      <w:spacing w:after="0" w:line="240" w:lineRule="auto"/>
      <w:jc w:val="center"/>
      <w:rPr>
        <w:rFonts w:cs="Arial"/>
        <w:sz w:val="21"/>
        <w:szCs w:val="21"/>
      </w:rPr>
    </w:pPr>
    <w:r w:rsidRPr="005C50B2">
      <w:rPr>
        <w:rFonts w:cs="Arial"/>
        <w:sz w:val="21"/>
        <w:szCs w:val="21"/>
      </w:rPr>
      <w:t xml:space="preserve">Centro Cultural Gabriel García Márquez - Calle 11 No. 5 – 60 - Piso: 3 - Patio José </w:t>
    </w:r>
    <w:r w:rsidRPr="005C50B2">
      <w:rPr>
        <w:sz w:val="21"/>
        <w:szCs w:val="21"/>
      </w:rPr>
      <w:t>Eustasio Rivera</w:t>
    </w:r>
  </w:p>
  <w:p w14:paraId="4888C0E6" w14:textId="77777777" w:rsidR="00C87B84" w:rsidRDefault="00C87B84" w:rsidP="00AF3F5E">
    <w:pPr>
      <w:spacing w:after="0" w:line="240" w:lineRule="auto"/>
      <w:jc w:val="center"/>
      <w:rPr>
        <w:rFonts w:cs="Arial"/>
        <w:sz w:val="21"/>
        <w:szCs w:val="21"/>
      </w:rPr>
    </w:pPr>
    <w:r w:rsidRPr="005C50B2">
      <w:rPr>
        <w:rFonts w:cs="Arial"/>
        <w:sz w:val="21"/>
        <w:szCs w:val="21"/>
      </w:rPr>
      <w:t xml:space="preserve">Teléfonos. 3822317 – 3822320 </w:t>
    </w:r>
  </w:p>
  <w:p w14:paraId="415D1823" w14:textId="77777777" w:rsidR="00C87B84" w:rsidRDefault="00000000" w:rsidP="00AF3F5E">
    <w:pPr>
      <w:spacing w:after="0" w:line="240" w:lineRule="auto"/>
      <w:jc w:val="center"/>
    </w:pPr>
    <w:hyperlink r:id="rId2" w:history="1">
      <w:r w:rsidR="00C87B84" w:rsidRPr="005C50B2">
        <w:rPr>
          <w:sz w:val="21"/>
          <w:szCs w:val="21"/>
        </w:rPr>
        <w:t>juridica@senado.gov.co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E0491" w14:textId="77777777" w:rsidR="00462893" w:rsidRDefault="00462893">
      <w:pPr>
        <w:spacing w:after="0" w:line="240" w:lineRule="auto"/>
      </w:pPr>
      <w:r>
        <w:separator/>
      </w:r>
    </w:p>
  </w:footnote>
  <w:footnote w:type="continuationSeparator" w:id="0">
    <w:p w14:paraId="5F13D8B3" w14:textId="77777777" w:rsidR="00462893" w:rsidRDefault="004628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21712" w14:textId="77777777" w:rsidR="00C87B84" w:rsidRDefault="00C87B84" w:rsidP="00AF3F5E">
    <w:pPr>
      <w:pStyle w:val="Encabezado"/>
      <w:jc w:val="center"/>
      <w:rPr>
        <w:rFonts w:ascii="Gill Sans MT" w:hAnsi="Gill Sans MT"/>
        <w:b/>
        <w:sz w:val="24"/>
        <w:szCs w:val="24"/>
      </w:rPr>
    </w:pPr>
    <w:r>
      <w:rPr>
        <w:noProof/>
        <w:lang w:val="es-CO" w:eastAsia="es-CO"/>
      </w:rPr>
      <w:drawing>
        <wp:inline distT="0" distB="0" distL="0" distR="0" wp14:anchorId="0DA8ACD3" wp14:editId="1AFADC5E">
          <wp:extent cx="1614805" cy="676910"/>
          <wp:effectExtent l="0" t="0" r="4445"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4805" cy="676910"/>
                  </a:xfrm>
                  <a:prstGeom prst="rect">
                    <a:avLst/>
                  </a:prstGeom>
                  <a:noFill/>
                  <a:ln>
                    <a:noFill/>
                  </a:ln>
                </pic:spPr>
              </pic:pic>
            </a:graphicData>
          </a:graphic>
        </wp:inline>
      </w:drawing>
    </w:r>
    <w:r w:rsidRPr="00382A84">
      <w:rPr>
        <w:rFonts w:ascii="Gill Sans MT" w:hAnsi="Gill Sans MT"/>
        <w:b/>
        <w:sz w:val="24"/>
        <w:szCs w:val="24"/>
      </w:rPr>
      <w:t xml:space="preserve"> </w:t>
    </w:r>
  </w:p>
  <w:p w14:paraId="223BD03A" w14:textId="77777777" w:rsidR="00C87B84" w:rsidRPr="00CD18EE" w:rsidRDefault="00C87B84" w:rsidP="00AF3F5E">
    <w:pPr>
      <w:pStyle w:val="Encabezado"/>
      <w:jc w:val="center"/>
      <w:rPr>
        <w:rFonts w:ascii="Arial" w:hAnsi="Arial" w:cs="Arial"/>
      </w:rPr>
    </w:pPr>
    <w:r w:rsidRPr="00CD18EE">
      <w:rPr>
        <w:rFonts w:ascii="Arial" w:hAnsi="Arial" w:cs="Arial"/>
        <w:b/>
      </w:rPr>
      <w:t>DIVISIÓN JURÍDICA</w:t>
    </w:r>
  </w:p>
  <w:p w14:paraId="6BB00DDF" w14:textId="77777777" w:rsidR="00C87B84" w:rsidRDefault="00C87B84" w:rsidP="00AF3F5E">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2AC"/>
    <w:multiLevelType w:val="multilevel"/>
    <w:tmpl w:val="0740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F0F79"/>
    <w:multiLevelType w:val="multilevel"/>
    <w:tmpl w:val="86F2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C397B"/>
    <w:multiLevelType w:val="multilevel"/>
    <w:tmpl w:val="A2EC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607A9"/>
    <w:multiLevelType w:val="multilevel"/>
    <w:tmpl w:val="32AE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B12C4"/>
    <w:multiLevelType w:val="hybridMultilevel"/>
    <w:tmpl w:val="4984BE50"/>
    <w:lvl w:ilvl="0" w:tplc="240A000F">
      <w:start w:val="1"/>
      <w:numFmt w:val="decimal"/>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5" w15:restartNumberingAfterBreak="0">
    <w:nsid w:val="10B8195B"/>
    <w:multiLevelType w:val="multilevel"/>
    <w:tmpl w:val="C9A0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175CAE"/>
    <w:multiLevelType w:val="multilevel"/>
    <w:tmpl w:val="A592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9109BC"/>
    <w:multiLevelType w:val="hybridMultilevel"/>
    <w:tmpl w:val="CA2E033A"/>
    <w:lvl w:ilvl="0" w:tplc="615EBF7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711544"/>
    <w:multiLevelType w:val="hybridMultilevel"/>
    <w:tmpl w:val="C1F8E36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7E75FF"/>
    <w:multiLevelType w:val="multilevel"/>
    <w:tmpl w:val="1FD44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BE14A7"/>
    <w:multiLevelType w:val="multilevel"/>
    <w:tmpl w:val="C160F934"/>
    <w:lvl w:ilvl="0">
      <w:start w:val="2"/>
      <w:numFmt w:val="decimal"/>
      <w:lvlText w:val="%1."/>
      <w:lvlJc w:val="left"/>
      <w:pPr>
        <w:ind w:left="420" w:hanging="42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B32B6B"/>
    <w:multiLevelType w:val="multilevel"/>
    <w:tmpl w:val="A95238C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C3A9E"/>
    <w:multiLevelType w:val="hybridMultilevel"/>
    <w:tmpl w:val="05DAB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2B071FB"/>
    <w:multiLevelType w:val="hybridMultilevel"/>
    <w:tmpl w:val="FD02DC36"/>
    <w:lvl w:ilvl="0" w:tplc="441C3672">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4" w15:restartNumberingAfterBreak="0">
    <w:nsid w:val="2411493E"/>
    <w:multiLevelType w:val="multilevel"/>
    <w:tmpl w:val="42BA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715D92"/>
    <w:multiLevelType w:val="multilevel"/>
    <w:tmpl w:val="F90E2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B928F9"/>
    <w:multiLevelType w:val="multilevel"/>
    <w:tmpl w:val="0BCC0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131225"/>
    <w:multiLevelType w:val="hybridMultilevel"/>
    <w:tmpl w:val="12B4C8FC"/>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84C0D58"/>
    <w:multiLevelType w:val="multilevel"/>
    <w:tmpl w:val="2332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752195"/>
    <w:multiLevelType w:val="hybridMultilevel"/>
    <w:tmpl w:val="7C9C09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D7A3B96"/>
    <w:multiLevelType w:val="multilevel"/>
    <w:tmpl w:val="5E94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F36E45"/>
    <w:multiLevelType w:val="hybridMultilevel"/>
    <w:tmpl w:val="FE745B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9EB5642"/>
    <w:multiLevelType w:val="multilevel"/>
    <w:tmpl w:val="99909CC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3F67B7"/>
    <w:multiLevelType w:val="multilevel"/>
    <w:tmpl w:val="5676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8377C4"/>
    <w:multiLevelType w:val="hybridMultilevel"/>
    <w:tmpl w:val="20C458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D12403F"/>
    <w:multiLevelType w:val="multilevel"/>
    <w:tmpl w:val="FC144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7041A3"/>
    <w:multiLevelType w:val="multilevel"/>
    <w:tmpl w:val="8F64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9302E0"/>
    <w:multiLevelType w:val="hybridMultilevel"/>
    <w:tmpl w:val="CA2E033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EA076D9"/>
    <w:multiLevelType w:val="hybridMultilevel"/>
    <w:tmpl w:val="9244A7E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F86713A"/>
    <w:multiLevelType w:val="multilevel"/>
    <w:tmpl w:val="0946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E03505"/>
    <w:multiLevelType w:val="hybridMultilevel"/>
    <w:tmpl w:val="6C3A820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36C70D6"/>
    <w:multiLevelType w:val="multilevel"/>
    <w:tmpl w:val="0678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0843B4"/>
    <w:multiLevelType w:val="hybridMultilevel"/>
    <w:tmpl w:val="E60C1F98"/>
    <w:lvl w:ilvl="0" w:tplc="90B0400E">
      <w:start w:val="1"/>
      <w:numFmt w:val="lowerRoman"/>
      <w:lvlText w:val="%1."/>
      <w:lvlJc w:val="left"/>
      <w:pPr>
        <w:ind w:left="1080" w:hanging="72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4112003"/>
    <w:multiLevelType w:val="hybridMultilevel"/>
    <w:tmpl w:val="CBAE756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9D0A6B"/>
    <w:multiLevelType w:val="multilevel"/>
    <w:tmpl w:val="CE2A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5E6CD5"/>
    <w:multiLevelType w:val="multilevel"/>
    <w:tmpl w:val="EAA0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1D343D"/>
    <w:multiLevelType w:val="hybridMultilevel"/>
    <w:tmpl w:val="D0FC002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DAA6077"/>
    <w:multiLevelType w:val="hybridMultilevel"/>
    <w:tmpl w:val="B84254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E8B1D2B"/>
    <w:multiLevelType w:val="hybridMultilevel"/>
    <w:tmpl w:val="2F6CC2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74313C2"/>
    <w:multiLevelType w:val="hybridMultilevel"/>
    <w:tmpl w:val="DFF66C50"/>
    <w:lvl w:ilvl="0" w:tplc="19A67B2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9480C05"/>
    <w:multiLevelType w:val="hybridMultilevel"/>
    <w:tmpl w:val="DD280A8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9DB18FC"/>
    <w:multiLevelType w:val="hybridMultilevel"/>
    <w:tmpl w:val="D5B87B5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FE955BE"/>
    <w:multiLevelType w:val="hybridMultilevel"/>
    <w:tmpl w:val="CE1ECBB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744714281">
    <w:abstractNumId w:val="37"/>
  </w:num>
  <w:num w:numId="2" w16cid:durableId="161353991">
    <w:abstractNumId w:val="41"/>
  </w:num>
  <w:num w:numId="3" w16cid:durableId="509225863">
    <w:abstractNumId w:val="17"/>
  </w:num>
  <w:num w:numId="4" w16cid:durableId="15160426">
    <w:abstractNumId w:val="13"/>
  </w:num>
  <w:num w:numId="5" w16cid:durableId="335226805">
    <w:abstractNumId w:val="38"/>
  </w:num>
  <w:num w:numId="6" w16cid:durableId="165293857">
    <w:abstractNumId w:val="19"/>
  </w:num>
  <w:num w:numId="7" w16cid:durableId="677542261">
    <w:abstractNumId w:val="30"/>
  </w:num>
  <w:num w:numId="8" w16cid:durableId="1619945309">
    <w:abstractNumId w:val="24"/>
  </w:num>
  <w:num w:numId="9" w16cid:durableId="1785538463">
    <w:abstractNumId w:val="21"/>
  </w:num>
  <w:num w:numId="10" w16cid:durableId="537864558">
    <w:abstractNumId w:val="42"/>
  </w:num>
  <w:num w:numId="11" w16cid:durableId="225729742">
    <w:abstractNumId w:val="4"/>
  </w:num>
  <w:num w:numId="12" w16cid:durableId="579485377">
    <w:abstractNumId w:val="11"/>
  </w:num>
  <w:num w:numId="13" w16cid:durableId="5523962">
    <w:abstractNumId w:val="7"/>
  </w:num>
  <w:num w:numId="14" w16cid:durableId="2030258131">
    <w:abstractNumId w:val="27"/>
  </w:num>
  <w:num w:numId="15" w16cid:durableId="1404179274">
    <w:abstractNumId w:val="9"/>
  </w:num>
  <w:num w:numId="16" w16cid:durableId="1602686573">
    <w:abstractNumId w:val="15"/>
  </w:num>
  <w:num w:numId="17" w16cid:durableId="1076587717">
    <w:abstractNumId w:val="29"/>
  </w:num>
  <w:num w:numId="18" w16cid:durableId="1520898574">
    <w:abstractNumId w:val="0"/>
  </w:num>
  <w:num w:numId="19" w16cid:durableId="113792212">
    <w:abstractNumId w:val="12"/>
  </w:num>
  <w:num w:numId="20" w16cid:durableId="607471122">
    <w:abstractNumId w:val="36"/>
  </w:num>
  <w:num w:numId="21" w16cid:durableId="430706055">
    <w:abstractNumId w:val="31"/>
  </w:num>
  <w:num w:numId="22" w16cid:durableId="253100210">
    <w:abstractNumId w:val="18"/>
  </w:num>
  <w:num w:numId="23" w16cid:durableId="35081608">
    <w:abstractNumId w:val="3"/>
  </w:num>
  <w:num w:numId="24" w16cid:durableId="1732578924">
    <w:abstractNumId w:val="16"/>
  </w:num>
  <w:num w:numId="25" w16cid:durableId="1314606916">
    <w:abstractNumId w:val="14"/>
  </w:num>
  <w:num w:numId="26" w16cid:durableId="1186944730">
    <w:abstractNumId w:val="5"/>
  </w:num>
  <w:num w:numId="27" w16cid:durableId="146291346">
    <w:abstractNumId w:val="6"/>
  </w:num>
  <w:num w:numId="28" w16cid:durableId="537863836">
    <w:abstractNumId w:val="35"/>
  </w:num>
  <w:num w:numId="29" w16cid:durableId="306789671">
    <w:abstractNumId w:val="25"/>
  </w:num>
  <w:num w:numId="30" w16cid:durableId="1103724384">
    <w:abstractNumId w:val="20"/>
  </w:num>
  <w:num w:numId="31" w16cid:durableId="917716229">
    <w:abstractNumId w:val="23"/>
  </w:num>
  <w:num w:numId="32" w16cid:durableId="47806124">
    <w:abstractNumId w:val="1"/>
  </w:num>
  <w:num w:numId="33" w16cid:durableId="1984430255">
    <w:abstractNumId w:val="2"/>
  </w:num>
  <w:num w:numId="34" w16cid:durableId="954362138">
    <w:abstractNumId w:val="26"/>
  </w:num>
  <w:num w:numId="35" w16cid:durableId="1073547090">
    <w:abstractNumId w:val="22"/>
  </w:num>
  <w:num w:numId="36" w16cid:durableId="1452899569">
    <w:abstractNumId w:val="40"/>
  </w:num>
  <w:num w:numId="37" w16cid:durableId="490216178">
    <w:abstractNumId w:val="33"/>
  </w:num>
  <w:num w:numId="38" w16cid:durableId="104926467">
    <w:abstractNumId w:val="8"/>
  </w:num>
  <w:num w:numId="39" w16cid:durableId="1265117598">
    <w:abstractNumId w:val="28"/>
  </w:num>
  <w:num w:numId="40" w16cid:durableId="1459839739">
    <w:abstractNumId w:val="39"/>
  </w:num>
  <w:num w:numId="41" w16cid:durableId="1193037480">
    <w:abstractNumId w:val="34"/>
  </w:num>
  <w:num w:numId="42" w16cid:durableId="1890871288">
    <w:abstractNumId w:val="10"/>
  </w:num>
  <w:num w:numId="43" w16cid:durableId="128157455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A7B"/>
    <w:rsid w:val="00000BA6"/>
    <w:rsid w:val="00005EF9"/>
    <w:rsid w:val="0000613C"/>
    <w:rsid w:val="00006899"/>
    <w:rsid w:val="000074DF"/>
    <w:rsid w:val="00014000"/>
    <w:rsid w:val="000151C7"/>
    <w:rsid w:val="000171EF"/>
    <w:rsid w:val="00021AAA"/>
    <w:rsid w:val="00021CE1"/>
    <w:rsid w:val="0002378B"/>
    <w:rsid w:val="00036E10"/>
    <w:rsid w:val="0004320D"/>
    <w:rsid w:val="00043506"/>
    <w:rsid w:val="00053477"/>
    <w:rsid w:val="0005428D"/>
    <w:rsid w:val="00054D15"/>
    <w:rsid w:val="00054FF0"/>
    <w:rsid w:val="00055C7D"/>
    <w:rsid w:val="00070A1B"/>
    <w:rsid w:val="00071B2F"/>
    <w:rsid w:val="00080714"/>
    <w:rsid w:val="00084975"/>
    <w:rsid w:val="00084D43"/>
    <w:rsid w:val="00086C18"/>
    <w:rsid w:val="00093508"/>
    <w:rsid w:val="00096185"/>
    <w:rsid w:val="000A06CA"/>
    <w:rsid w:val="000A5568"/>
    <w:rsid w:val="000A711D"/>
    <w:rsid w:val="000B10B9"/>
    <w:rsid w:val="000B4BA1"/>
    <w:rsid w:val="000B4F3A"/>
    <w:rsid w:val="000B5B3C"/>
    <w:rsid w:val="000B5B4E"/>
    <w:rsid w:val="000E68C2"/>
    <w:rsid w:val="000F1CD1"/>
    <w:rsid w:val="00112078"/>
    <w:rsid w:val="00112DF2"/>
    <w:rsid w:val="00113BD7"/>
    <w:rsid w:val="00114B6E"/>
    <w:rsid w:val="00124772"/>
    <w:rsid w:val="00124EF1"/>
    <w:rsid w:val="00127615"/>
    <w:rsid w:val="00127CE9"/>
    <w:rsid w:val="00133071"/>
    <w:rsid w:val="00133844"/>
    <w:rsid w:val="001346B3"/>
    <w:rsid w:val="00136D2D"/>
    <w:rsid w:val="001416C4"/>
    <w:rsid w:val="0014469A"/>
    <w:rsid w:val="001525FC"/>
    <w:rsid w:val="0015584B"/>
    <w:rsid w:val="00156D1A"/>
    <w:rsid w:val="001571D5"/>
    <w:rsid w:val="00162EDE"/>
    <w:rsid w:val="001648EE"/>
    <w:rsid w:val="00164EAA"/>
    <w:rsid w:val="00166587"/>
    <w:rsid w:val="001726C9"/>
    <w:rsid w:val="001822A0"/>
    <w:rsid w:val="00193366"/>
    <w:rsid w:val="001953D1"/>
    <w:rsid w:val="00195909"/>
    <w:rsid w:val="001B1108"/>
    <w:rsid w:val="001B35AD"/>
    <w:rsid w:val="001B7F3E"/>
    <w:rsid w:val="001C3833"/>
    <w:rsid w:val="001C3942"/>
    <w:rsid w:val="001D2E49"/>
    <w:rsid w:val="001D69BC"/>
    <w:rsid w:val="001D6CEE"/>
    <w:rsid w:val="001F242E"/>
    <w:rsid w:val="001F381D"/>
    <w:rsid w:val="001F78F5"/>
    <w:rsid w:val="00201CC3"/>
    <w:rsid w:val="002066AB"/>
    <w:rsid w:val="00207A99"/>
    <w:rsid w:val="00211CF3"/>
    <w:rsid w:val="002137A3"/>
    <w:rsid w:val="002138CC"/>
    <w:rsid w:val="002157B3"/>
    <w:rsid w:val="0022122A"/>
    <w:rsid w:val="0022272E"/>
    <w:rsid w:val="00223351"/>
    <w:rsid w:val="00225660"/>
    <w:rsid w:val="002267B8"/>
    <w:rsid w:val="00230498"/>
    <w:rsid w:val="00232C5C"/>
    <w:rsid w:val="0023436F"/>
    <w:rsid w:val="00234C01"/>
    <w:rsid w:val="00235A6B"/>
    <w:rsid w:val="002439B8"/>
    <w:rsid w:val="0024748B"/>
    <w:rsid w:val="00252C2A"/>
    <w:rsid w:val="002606FE"/>
    <w:rsid w:val="0027292C"/>
    <w:rsid w:val="0027480B"/>
    <w:rsid w:val="002860EA"/>
    <w:rsid w:val="00287BD6"/>
    <w:rsid w:val="00290977"/>
    <w:rsid w:val="002A1A1E"/>
    <w:rsid w:val="002A311C"/>
    <w:rsid w:val="002A4770"/>
    <w:rsid w:val="002A4771"/>
    <w:rsid w:val="002A47CF"/>
    <w:rsid w:val="002A78DE"/>
    <w:rsid w:val="002B336E"/>
    <w:rsid w:val="002D4B85"/>
    <w:rsid w:val="002E2287"/>
    <w:rsid w:val="002F0679"/>
    <w:rsid w:val="002F48AE"/>
    <w:rsid w:val="002F4FF0"/>
    <w:rsid w:val="002F58D6"/>
    <w:rsid w:val="003020A4"/>
    <w:rsid w:val="003021E8"/>
    <w:rsid w:val="00302A4B"/>
    <w:rsid w:val="00302E95"/>
    <w:rsid w:val="0030313D"/>
    <w:rsid w:val="00306A95"/>
    <w:rsid w:val="00307A60"/>
    <w:rsid w:val="00310F40"/>
    <w:rsid w:val="00323CE9"/>
    <w:rsid w:val="00324D9B"/>
    <w:rsid w:val="003252F8"/>
    <w:rsid w:val="00335AB1"/>
    <w:rsid w:val="00341387"/>
    <w:rsid w:val="00344166"/>
    <w:rsid w:val="00344CF4"/>
    <w:rsid w:val="003624DE"/>
    <w:rsid w:val="0036610C"/>
    <w:rsid w:val="00370639"/>
    <w:rsid w:val="00371DF9"/>
    <w:rsid w:val="00373306"/>
    <w:rsid w:val="00397F07"/>
    <w:rsid w:val="003B5B02"/>
    <w:rsid w:val="003C2743"/>
    <w:rsid w:val="003C4B96"/>
    <w:rsid w:val="003C6EE8"/>
    <w:rsid w:val="003C78F0"/>
    <w:rsid w:val="003D27FB"/>
    <w:rsid w:val="003D486D"/>
    <w:rsid w:val="003D5C58"/>
    <w:rsid w:val="003D6631"/>
    <w:rsid w:val="003F2F7D"/>
    <w:rsid w:val="003F5409"/>
    <w:rsid w:val="003F626B"/>
    <w:rsid w:val="0040528F"/>
    <w:rsid w:val="0040635D"/>
    <w:rsid w:val="0041404D"/>
    <w:rsid w:val="00415072"/>
    <w:rsid w:val="004217D2"/>
    <w:rsid w:val="00423E6D"/>
    <w:rsid w:val="00426140"/>
    <w:rsid w:val="00450855"/>
    <w:rsid w:val="004537F9"/>
    <w:rsid w:val="00454BDC"/>
    <w:rsid w:val="0045501D"/>
    <w:rsid w:val="0045591C"/>
    <w:rsid w:val="004562CE"/>
    <w:rsid w:val="00456C66"/>
    <w:rsid w:val="00462893"/>
    <w:rsid w:val="0046611D"/>
    <w:rsid w:val="00470221"/>
    <w:rsid w:val="00470842"/>
    <w:rsid w:val="004863E8"/>
    <w:rsid w:val="00497036"/>
    <w:rsid w:val="004979B5"/>
    <w:rsid w:val="004B0FDE"/>
    <w:rsid w:val="004B3A57"/>
    <w:rsid w:val="004B4EC9"/>
    <w:rsid w:val="004C1A72"/>
    <w:rsid w:val="004C35B4"/>
    <w:rsid w:val="004C421F"/>
    <w:rsid w:val="004C5CF8"/>
    <w:rsid w:val="004E08FC"/>
    <w:rsid w:val="004E674F"/>
    <w:rsid w:val="004F15CF"/>
    <w:rsid w:val="004F4ACB"/>
    <w:rsid w:val="00506414"/>
    <w:rsid w:val="00514949"/>
    <w:rsid w:val="0051511E"/>
    <w:rsid w:val="00517B44"/>
    <w:rsid w:val="005212CA"/>
    <w:rsid w:val="005242CC"/>
    <w:rsid w:val="0052505E"/>
    <w:rsid w:val="0052591F"/>
    <w:rsid w:val="00526485"/>
    <w:rsid w:val="00527473"/>
    <w:rsid w:val="005301FB"/>
    <w:rsid w:val="00531958"/>
    <w:rsid w:val="0053653E"/>
    <w:rsid w:val="00540D44"/>
    <w:rsid w:val="0054270C"/>
    <w:rsid w:val="00544705"/>
    <w:rsid w:val="0056020B"/>
    <w:rsid w:val="005675AE"/>
    <w:rsid w:val="00576332"/>
    <w:rsid w:val="00580603"/>
    <w:rsid w:val="00590611"/>
    <w:rsid w:val="005912D6"/>
    <w:rsid w:val="00592358"/>
    <w:rsid w:val="0059538E"/>
    <w:rsid w:val="005B0EAC"/>
    <w:rsid w:val="005B37D5"/>
    <w:rsid w:val="005B4AE6"/>
    <w:rsid w:val="005C2542"/>
    <w:rsid w:val="005C382B"/>
    <w:rsid w:val="005C7AD6"/>
    <w:rsid w:val="005D05F6"/>
    <w:rsid w:val="005D7E03"/>
    <w:rsid w:val="005E29DB"/>
    <w:rsid w:val="005E4845"/>
    <w:rsid w:val="005F25B8"/>
    <w:rsid w:val="005F3E5F"/>
    <w:rsid w:val="005F451D"/>
    <w:rsid w:val="00614646"/>
    <w:rsid w:val="006176F2"/>
    <w:rsid w:val="00622E83"/>
    <w:rsid w:val="00622FDA"/>
    <w:rsid w:val="006314F5"/>
    <w:rsid w:val="00644344"/>
    <w:rsid w:val="006455D1"/>
    <w:rsid w:val="00646715"/>
    <w:rsid w:val="0064747A"/>
    <w:rsid w:val="0065334D"/>
    <w:rsid w:val="00657494"/>
    <w:rsid w:val="00665DCF"/>
    <w:rsid w:val="00666C1A"/>
    <w:rsid w:val="00667472"/>
    <w:rsid w:val="00672260"/>
    <w:rsid w:val="00683032"/>
    <w:rsid w:val="00687D23"/>
    <w:rsid w:val="006947F3"/>
    <w:rsid w:val="006A0E15"/>
    <w:rsid w:val="006A3C1D"/>
    <w:rsid w:val="006A56CD"/>
    <w:rsid w:val="006A7D2D"/>
    <w:rsid w:val="006B126F"/>
    <w:rsid w:val="006B63A0"/>
    <w:rsid w:val="006C2588"/>
    <w:rsid w:val="006C2C98"/>
    <w:rsid w:val="006C7B3D"/>
    <w:rsid w:val="006C7CFC"/>
    <w:rsid w:val="006D758E"/>
    <w:rsid w:val="006E7921"/>
    <w:rsid w:val="006F0223"/>
    <w:rsid w:val="006F5B81"/>
    <w:rsid w:val="006F6E31"/>
    <w:rsid w:val="006F75C8"/>
    <w:rsid w:val="00700600"/>
    <w:rsid w:val="00707E79"/>
    <w:rsid w:val="00711E3E"/>
    <w:rsid w:val="0071228C"/>
    <w:rsid w:val="007129CB"/>
    <w:rsid w:val="00712F19"/>
    <w:rsid w:val="0071470E"/>
    <w:rsid w:val="00722D22"/>
    <w:rsid w:val="0072543A"/>
    <w:rsid w:val="00730CD0"/>
    <w:rsid w:val="00731AD3"/>
    <w:rsid w:val="007342A5"/>
    <w:rsid w:val="00735DAF"/>
    <w:rsid w:val="007407F7"/>
    <w:rsid w:val="0075081B"/>
    <w:rsid w:val="00752A0A"/>
    <w:rsid w:val="007569D0"/>
    <w:rsid w:val="007606DB"/>
    <w:rsid w:val="00761D6C"/>
    <w:rsid w:val="007644C0"/>
    <w:rsid w:val="00765315"/>
    <w:rsid w:val="00766E9D"/>
    <w:rsid w:val="0078221B"/>
    <w:rsid w:val="00790B27"/>
    <w:rsid w:val="00792AE7"/>
    <w:rsid w:val="00796142"/>
    <w:rsid w:val="007A6773"/>
    <w:rsid w:val="007A76D5"/>
    <w:rsid w:val="007B2B86"/>
    <w:rsid w:val="007B5154"/>
    <w:rsid w:val="007B72A7"/>
    <w:rsid w:val="007B7C07"/>
    <w:rsid w:val="007C4A10"/>
    <w:rsid w:val="007C5C5C"/>
    <w:rsid w:val="007D4636"/>
    <w:rsid w:val="007E32B7"/>
    <w:rsid w:val="007E4A30"/>
    <w:rsid w:val="007F6101"/>
    <w:rsid w:val="008049DF"/>
    <w:rsid w:val="00810DEB"/>
    <w:rsid w:val="00812C69"/>
    <w:rsid w:val="008134D3"/>
    <w:rsid w:val="00820085"/>
    <w:rsid w:val="0082191D"/>
    <w:rsid w:val="0082494C"/>
    <w:rsid w:val="00825F61"/>
    <w:rsid w:val="0083286E"/>
    <w:rsid w:val="00834094"/>
    <w:rsid w:val="008342C9"/>
    <w:rsid w:val="00850B6B"/>
    <w:rsid w:val="00851533"/>
    <w:rsid w:val="0085767E"/>
    <w:rsid w:val="00861CF7"/>
    <w:rsid w:val="008625B2"/>
    <w:rsid w:val="00863F70"/>
    <w:rsid w:val="00865F19"/>
    <w:rsid w:val="008726CB"/>
    <w:rsid w:val="00875249"/>
    <w:rsid w:val="00884A17"/>
    <w:rsid w:val="00884AE9"/>
    <w:rsid w:val="00885B81"/>
    <w:rsid w:val="008869DA"/>
    <w:rsid w:val="0089478A"/>
    <w:rsid w:val="00895AE8"/>
    <w:rsid w:val="00897F2F"/>
    <w:rsid w:val="008A6A6F"/>
    <w:rsid w:val="008A7A7B"/>
    <w:rsid w:val="008C3260"/>
    <w:rsid w:val="008C4734"/>
    <w:rsid w:val="008D0659"/>
    <w:rsid w:val="008D13A4"/>
    <w:rsid w:val="008D22E4"/>
    <w:rsid w:val="008E0090"/>
    <w:rsid w:val="008E401E"/>
    <w:rsid w:val="008F0158"/>
    <w:rsid w:val="008F041C"/>
    <w:rsid w:val="008F30A6"/>
    <w:rsid w:val="00905DB0"/>
    <w:rsid w:val="00915917"/>
    <w:rsid w:val="00921298"/>
    <w:rsid w:val="00922A34"/>
    <w:rsid w:val="009250BD"/>
    <w:rsid w:val="00926E15"/>
    <w:rsid w:val="00933F39"/>
    <w:rsid w:val="00935768"/>
    <w:rsid w:val="00936B19"/>
    <w:rsid w:val="00941E46"/>
    <w:rsid w:val="00942F61"/>
    <w:rsid w:val="00950E68"/>
    <w:rsid w:val="009556B7"/>
    <w:rsid w:val="00962AE6"/>
    <w:rsid w:val="00965032"/>
    <w:rsid w:val="00971C3A"/>
    <w:rsid w:val="00973F4F"/>
    <w:rsid w:val="0097596B"/>
    <w:rsid w:val="009763E2"/>
    <w:rsid w:val="00990CAA"/>
    <w:rsid w:val="00992555"/>
    <w:rsid w:val="00995A0B"/>
    <w:rsid w:val="00996470"/>
    <w:rsid w:val="009A1706"/>
    <w:rsid w:val="009B36A0"/>
    <w:rsid w:val="009C05BE"/>
    <w:rsid w:val="009C17C2"/>
    <w:rsid w:val="009C65FF"/>
    <w:rsid w:val="009C6B8C"/>
    <w:rsid w:val="009D15F3"/>
    <w:rsid w:val="009D1B66"/>
    <w:rsid w:val="009E43C9"/>
    <w:rsid w:val="009F0847"/>
    <w:rsid w:val="009F6912"/>
    <w:rsid w:val="00A02D82"/>
    <w:rsid w:val="00A03F60"/>
    <w:rsid w:val="00A0530D"/>
    <w:rsid w:val="00A136A4"/>
    <w:rsid w:val="00A13CD5"/>
    <w:rsid w:val="00A163A2"/>
    <w:rsid w:val="00A242A4"/>
    <w:rsid w:val="00A3106F"/>
    <w:rsid w:val="00A3150D"/>
    <w:rsid w:val="00A4461F"/>
    <w:rsid w:val="00A57207"/>
    <w:rsid w:val="00A57D06"/>
    <w:rsid w:val="00A646A2"/>
    <w:rsid w:val="00A647FA"/>
    <w:rsid w:val="00A652EA"/>
    <w:rsid w:val="00A70DD5"/>
    <w:rsid w:val="00A73663"/>
    <w:rsid w:val="00A7728C"/>
    <w:rsid w:val="00A824AA"/>
    <w:rsid w:val="00A82ACC"/>
    <w:rsid w:val="00A87AD0"/>
    <w:rsid w:val="00A87DA7"/>
    <w:rsid w:val="00A90820"/>
    <w:rsid w:val="00AA2FF8"/>
    <w:rsid w:val="00AA3B43"/>
    <w:rsid w:val="00AA7586"/>
    <w:rsid w:val="00AA7C84"/>
    <w:rsid w:val="00AB2948"/>
    <w:rsid w:val="00AB3F9A"/>
    <w:rsid w:val="00AB6284"/>
    <w:rsid w:val="00AC2400"/>
    <w:rsid w:val="00AC5D87"/>
    <w:rsid w:val="00AD3831"/>
    <w:rsid w:val="00AD4F50"/>
    <w:rsid w:val="00AE1681"/>
    <w:rsid w:val="00AF134A"/>
    <w:rsid w:val="00AF3F5E"/>
    <w:rsid w:val="00AF40F9"/>
    <w:rsid w:val="00B035A7"/>
    <w:rsid w:val="00B048C0"/>
    <w:rsid w:val="00B12772"/>
    <w:rsid w:val="00B144FC"/>
    <w:rsid w:val="00B33914"/>
    <w:rsid w:val="00B33964"/>
    <w:rsid w:val="00B36579"/>
    <w:rsid w:val="00B3787B"/>
    <w:rsid w:val="00B43E06"/>
    <w:rsid w:val="00B52113"/>
    <w:rsid w:val="00B5220F"/>
    <w:rsid w:val="00B54F4F"/>
    <w:rsid w:val="00B63E31"/>
    <w:rsid w:val="00B65368"/>
    <w:rsid w:val="00B71394"/>
    <w:rsid w:val="00B724A4"/>
    <w:rsid w:val="00B74C56"/>
    <w:rsid w:val="00B7625E"/>
    <w:rsid w:val="00B862EE"/>
    <w:rsid w:val="00B86410"/>
    <w:rsid w:val="00B91196"/>
    <w:rsid w:val="00BA6C7C"/>
    <w:rsid w:val="00BB2AE9"/>
    <w:rsid w:val="00BB4888"/>
    <w:rsid w:val="00BB6B61"/>
    <w:rsid w:val="00BD18C4"/>
    <w:rsid w:val="00BD7194"/>
    <w:rsid w:val="00BE5317"/>
    <w:rsid w:val="00BF7DD7"/>
    <w:rsid w:val="00C003C5"/>
    <w:rsid w:val="00C00B69"/>
    <w:rsid w:val="00C04465"/>
    <w:rsid w:val="00C05FF4"/>
    <w:rsid w:val="00C12637"/>
    <w:rsid w:val="00C165D8"/>
    <w:rsid w:val="00C17BA2"/>
    <w:rsid w:val="00C17EE9"/>
    <w:rsid w:val="00C21342"/>
    <w:rsid w:val="00C2475E"/>
    <w:rsid w:val="00C330C9"/>
    <w:rsid w:val="00C363D8"/>
    <w:rsid w:val="00C419EF"/>
    <w:rsid w:val="00C53ABD"/>
    <w:rsid w:val="00C61744"/>
    <w:rsid w:val="00C83754"/>
    <w:rsid w:val="00C8382B"/>
    <w:rsid w:val="00C87B84"/>
    <w:rsid w:val="00CB2600"/>
    <w:rsid w:val="00CB751B"/>
    <w:rsid w:val="00CB7C04"/>
    <w:rsid w:val="00CC4276"/>
    <w:rsid w:val="00CD18EE"/>
    <w:rsid w:val="00CE0A18"/>
    <w:rsid w:val="00D04586"/>
    <w:rsid w:val="00D143D9"/>
    <w:rsid w:val="00D14A2F"/>
    <w:rsid w:val="00D20164"/>
    <w:rsid w:val="00D22EC2"/>
    <w:rsid w:val="00D24A62"/>
    <w:rsid w:val="00D27DB5"/>
    <w:rsid w:val="00D31ED6"/>
    <w:rsid w:val="00D3488E"/>
    <w:rsid w:val="00D36BB3"/>
    <w:rsid w:val="00D40F77"/>
    <w:rsid w:val="00D51BF4"/>
    <w:rsid w:val="00D57A47"/>
    <w:rsid w:val="00D605D7"/>
    <w:rsid w:val="00D64150"/>
    <w:rsid w:val="00D64A67"/>
    <w:rsid w:val="00D655F7"/>
    <w:rsid w:val="00D712EB"/>
    <w:rsid w:val="00D80DB9"/>
    <w:rsid w:val="00D92722"/>
    <w:rsid w:val="00DA16C2"/>
    <w:rsid w:val="00DA2EB6"/>
    <w:rsid w:val="00DA4595"/>
    <w:rsid w:val="00DB2BF2"/>
    <w:rsid w:val="00DB2E15"/>
    <w:rsid w:val="00DC1F23"/>
    <w:rsid w:val="00DC4C77"/>
    <w:rsid w:val="00DC595A"/>
    <w:rsid w:val="00DC625C"/>
    <w:rsid w:val="00DD75AD"/>
    <w:rsid w:val="00DE522A"/>
    <w:rsid w:val="00DF0D44"/>
    <w:rsid w:val="00DF5DBF"/>
    <w:rsid w:val="00E00AEA"/>
    <w:rsid w:val="00E01FFD"/>
    <w:rsid w:val="00E12618"/>
    <w:rsid w:val="00E23942"/>
    <w:rsid w:val="00E34044"/>
    <w:rsid w:val="00E400EF"/>
    <w:rsid w:val="00E41D2E"/>
    <w:rsid w:val="00E421FC"/>
    <w:rsid w:val="00E45328"/>
    <w:rsid w:val="00E47795"/>
    <w:rsid w:val="00E52212"/>
    <w:rsid w:val="00E64560"/>
    <w:rsid w:val="00E650FD"/>
    <w:rsid w:val="00E6565D"/>
    <w:rsid w:val="00E65F6F"/>
    <w:rsid w:val="00E706EE"/>
    <w:rsid w:val="00E815C1"/>
    <w:rsid w:val="00E8651A"/>
    <w:rsid w:val="00EA3276"/>
    <w:rsid w:val="00EA6083"/>
    <w:rsid w:val="00EB5C68"/>
    <w:rsid w:val="00EC1DAD"/>
    <w:rsid w:val="00EC2408"/>
    <w:rsid w:val="00EC28F6"/>
    <w:rsid w:val="00EC40CC"/>
    <w:rsid w:val="00EC5826"/>
    <w:rsid w:val="00ED3653"/>
    <w:rsid w:val="00ED5909"/>
    <w:rsid w:val="00EE1C1B"/>
    <w:rsid w:val="00EF1C35"/>
    <w:rsid w:val="00EF4B43"/>
    <w:rsid w:val="00EF7E64"/>
    <w:rsid w:val="00F00CB5"/>
    <w:rsid w:val="00F00F69"/>
    <w:rsid w:val="00F059D4"/>
    <w:rsid w:val="00F1135F"/>
    <w:rsid w:val="00F21050"/>
    <w:rsid w:val="00F352BB"/>
    <w:rsid w:val="00F357DD"/>
    <w:rsid w:val="00F45447"/>
    <w:rsid w:val="00F467B7"/>
    <w:rsid w:val="00F46AF5"/>
    <w:rsid w:val="00F474DB"/>
    <w:rsid w:val="00F53290"/>
    <w:rsid w:val="00F56735"/>
    <w:rsid w:val="00F577D2"/>
    <w:rsid w:val="00F72112"/>
    <w:rsid w:val="00F81BF1"/>
    <w:rsid w:val="00F82C41"/>
    <w:rsid w:val="00F851F3"/>
    <w:rsid w:val="00F95287"/>
    <w:rsid w:val="00F95653"/>
    <w:rsid w:val="00F95859"/>
    <w:rsid w:val="00FA0012"/>
    <w:rsid w:val="00FA1CA4"/>
    <w:rsid w:val="00FA2E0F"/>
    <w:rsid w:val="00FA47C8"/>
    <w:rsid w:val="00FC30C4"/>
    <w:rsid w:val="00FC3743"/>
    <w:rsid w:val="00FC58B0"/>
    <w:rsid w:val="00FD0A40"/>
    <w:rsid w:val="00FD0AE1"/>
    <w:rsid w:val="00FD55D5"/>
    <w:rsid w:val="00FE5934"/>
    <w:rsid w:val="00FE7CAB"/>
    <w:rsid w:val="00FF0E6F"/>
    <w:rsid w:val="00FF149D"/>
    <w:rsid w:val="00FF7D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5B6E5"/>
  <w15:chartTrackingRefBased/>
  <w15:docId w15:val="{681A0883-AE67-47F5-A9C1-0DD2B8746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A7B"/>
    <w:rPr>
      <w:lang w:val="es-MX"/>
    </w:rPr>
  </w:style>
  <w:style w:type="paragraph" w:styleId="Ttulo2">
    <w:name w:val="heading 2"/>
    <w:basedOn w:val="Normal"/>
    <w:next w:val="Normal"/>
    <w:link w:val="Ttulo2Car"/>
    <w:uiPriority w:val="9"/>
    <w:semiHidden/>
    <w:unhideWhenUsed/>
    <w:qFormat/>
    <w:rsid w:val="007342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12F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A7A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7A7B"/>
    <w:rPr>
      <w:lang w:val="es-MX"/>
    </w:rPr>
  </w:style>
  <w:style w:type="table" w:styleId="Tablaconcuadrcula">
    <w:name w:val="Table Grid"/>
    <w:basedOn w:val="Tablanormal"/>
    <w:uiPriority w:val="39"/>
    <w:rsid w:val="008A7A7B"/>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B4EC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4EC9"/>
    <w:rPr>
      <w:rFonts w:ascii="Segoe UI" w:hAnsi="Segoe UI" w:cs="Segoe UI"/>
      <w:sz w:val="18"/>
      <w:szCs w:val="18"/>
      <w:lang w:val="es-MX"/>
    </w:rPr>
  </w:style>
  <w:style w:type="paragraph" w:styleId="Sinespaciado">
    <w:name w:val="No Spacing"/>
    <w:link w:val="SinespaciadoCar"/>
    <w:uiPriority w:val="1"/>
    <w:qFormat/>
    <w:rsid w:val="00F851F3"/>
    <w:pPr>
      <w:spacing w:after="0" w:line="240" w:lineRule="auto"/>
    </w:pPr>
    <w:rPr>
      <w:lang w:val="es-MX"/>
    </w:rPr>
  </w:style>
  <w:style w:type="paragraph" w:styleId="Piedepgina">
    <w:name w:val="footer"/>
    <w:basedOn w:val="Normal"/>
    <w:link w:val="PiedepginaCar"/>
    <w:uiPriority w:val="99"/>
    <w:unhideWhenUsed/>
    <w:rsid w:val="00B144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44FC"/>
    <w:rPr>
      <w:lang w:val="es-MX"/>
    </w:rPr>
  </w:style>
  <w:style w:type="paragraph" w:styleId="Prrafodelista">
    <w:name w:val="List Paragraph"/>
    <w:basedOn w:val="Normal"/>
    <w:uiPriority w:val="34"/>
    <w:qFormat/>
    <w:rsid w:val="001F78F5"/>
    <w:pPr>
      <w:ind w:left="720"/>
      <w:contextualSpacing/>
    </w:pPr>
  </w:style>
  <w:style w:type="paragraph" w:styleId="Textoindependiente">
    <w:name w:val="Body Text"/>
    <w:basedOn w:val="Normal"/>
    <w:link w:val="TextoindependienteCar"/>
    <w:uiPriority w:val="1"/>
    <w:qFormat/>
    <w:rsid w:val="008049DF"/>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8049DF"/>
    <w:rPr>
      <w:rFonts w:ascii="Arial MT" w:eastAsia="Arial MT" w:hAnsi="Arial MT" w:cs="Arial MT"/>
      <w:sz w:val="24"/>
      <w:szCs w:val="24"/>
      <w:lang w:val="es-ES"/>
    </w:rPr>
  </w:style>
  <w:style w:type="character" w:customStyle="1" w:styleId="SinespaciadoCar">
    <w:name w:val="Sin espaciado Car"/>
    <w:link w:val="Sinespaciado"/>
    <w:uiPriority w:val="1"/>
    <w:locked/>
    <w:rsid w:val="008049DF"/>
    <w:rPr>
      <w:lang w:val="es-MX"/>
    </w:rPr>
  </w:style>
  <w:style w:type="table" w:styleId="Tablaconcuadrcula2-nfasis2">
    <w:name w:val="Grid Table 2 Accent 2"/>
    <w:basedOn w:val="Tablanormal"/>
    <w:uiPriority w:val="47"/>
    <w:rsid w:val="003C6EE8"/>
    <w:pPr>
      <w:spacing w:after="0" w:line="240" w:lineRule="auto"/>
    </w:pPr>
    <w:rPr>
      <w:kern w:val="2"/>
      <w:sz w:val="24"/>
      <w:szCs w:val="24"/>
      <w:lang w:val="es-MX"/>
      <w14:ligatures w14:val="standardContextual"/>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tulo3Car">
    <w:name w:val="Título 3 Car"/>
    <w:basedOn w:val="Fuentedeprrafopredeter"/>
    <w:link w:val="Ttulo3"/>
    <w:uiPriority w:val="9"/>
    <w:semiHidden/>
    <w:rsid w:val="00712F19"/>
    <w:rPr>
      <w:rFonts w:asciiTheme="majorHAnsi" w:eastAsiaTheme="majorEastAsia" w:hAnsiTheme="majorHAnsi" w:cstheme="majorBidi"/>
      <w:color w:val="1F4D78" w:themeColor="accent1" w:themeShade="7F"/>
      <w:sz w:val="24"/>
      <w:szCs w:val="24"/>
      <w:lang w:val="es-MX"/>
    </w:rPr>
  </w:style>
  <w:style w:type="table" w:styleId="Tabladelista7concolores-nfasis4">
    <w:name w:val="List Table 7 Colorful Accent 4"/>
    <w:basedOn w:val="Tablanormal"/>
    <w:uiPriority w:val="52"/>
    <w:rsid w:val="0056020B"/>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1clara-nfasis4">
    <w:name w:val="Grid Table 1 Light Accent 4"/>
    <w:basedOn w:val="Tablanormal"/>
    <w:uiPriority w:val="46"/>
    <w:rsid w:val="00622FDA"/>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concuadrcula2-nfasis4">
    <w:name w:val="Grid Table 2 Accent 4"/>
    <w:basedOn w:val="Tablanormal"/>
    <w:uiPriority w:val="47"/>
    <w:rsid w:val="00622FDA"/>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Ttulo2Car">
    <w:name w:val="Título 2 Car"/>
    <w:basedOn w:val="Fuentedeprrafopredeter"/>
    <w:link w:val="Ttulo2"/>
    <w:uiPriority w:val="9"/>
    <w:semiHidden/>
    <w:rsid w:val="007342A5"/>
    <w:rPr>
      <w:rFonts w:asciiTheme="majorHAnsi" w:eastAsiaTheme="majorEastAsia" w:hAnsiTheme="majorHAnsi" w:cstheme="majorBidi"/>
      <w:color w:val="2E74B5" w:themeColor="accent1" w:themeShade="BF"/>
      <w:sz w:val="26"/>
      <w:szCs w:val="26"/>
      <w:lang w:val="es-MX"/>
    </w:rPr>
  </w:style>
  <w:style w:type="paragraph" w:styleId="NormalWeb">
    <w:name w:val="Normal (Web)"/>
    <w:basedOn w:val="Normal"/>
    <w:uiPriority w:val="99"/>
    <w:semiHidden/>
    <w:unhideWhenUsed/>
    <w:rsid w:val="00E421F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75773">
      <w:bodyDiv w:val="1"/>
      <w:marLeft w:val="0"/>
      <w:marRight w:val="0"/>
      <w:marTop w:val="0"/>
      <w:marBottom w:val="0"/>
      <w:divBdr>
        <w:top w:val="none" w:sz="0" w:space="0" w:color="auto"/>
        <w:left w:val="none" w:sz="0" w:space="0" w:color="auto"/>
        <w:bottom w:val="none" w:sz="0" w:space="0" w:color="auto"/>
        <w:right w:val="none" w:sz="0" w:space="0" w:color="auto"/>
      </w:divBdr>
      <w:divsChild>
        <w:div w:id="740869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195387">
      <w:bodyDiv w:val="1"/>
      <w:marLeft w:val="0"/>
      <w:marRight w:val="0"/>
      <w:marTop w:val="0"/>
      <w:marBottom w:val="0"/>
      <w:divBdr>
        <w:top w:val="none" w:sz="0" w:space="0" w:color="auto"/>
        <w:left w:val="none" w:sz="0" w:space="0" w:color="auto"/>
        <w:bottom w:val="none" w:sz="0" w:space="0" w:color="auto"/>
        <w:right w:val="none" w:sz="0" w:space="0" w:color="auto"/>
      </w:divBdr>
    </w:div>
    <w:div w:id="269825149">
      <w:bodyDiv w:val="1"/>
      <w:marLeft w:val="0"/>
      <w:marRight w:val="0"/>
      <w:marTop w:val="0"/>
      <w:marBottom w:val="0"/>
      <w:divBdr>
        <w:top w:val="none" w:sz="0" w:space="0" w:color="auto"/>
        <w:left w:val="none" w:sz="0" w:space="0" w:color="auto"/>
        <w:bottom w:val="none" w:sz="0" w:space="0" w:color="auto"/>
        <w:right w:val="none" w:sz="0" w:space="0" w:color="auto"/>
      </w:divBdr>
    </w:div>
    <w:div w:id="436486651">
      <w:bodyDiv w:val="1"/>
      <w:marLeft w:val="0"/>
      <w:marRight w:val="0"/>
      <w:marTop w:val="0"/>
      <w:marBottom w:val="0"/>
      <w:divBdr>
        <w:top w:val="none" w:sz="0" w:space="0" w:color="auto"/>
        <w:left w:val="none" w:sz="0" w:space="0" w:color="auto"/>
        <w:bottom w:val="none" w:sz="0" w:space="0" w:color="auto"/>
        <w:right w:val="none" w:sz="0" w:space="0" w:color="auto"/>
      </w:divBdr>
      <w:divsChild>
        <w:div w:id="21359037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3016104">
      <w:bodyDiv w:val="1"/>
      <w:marLeft w:val="0"/>
      <w:marRight w:val="0"/>
      <w:marTop w:val="0"/>
      <w:marBottom w:val="0"/>
      <w:divBdr>
        <w:top w:val="none" w:sz="0" w:space="0" w:color="auto"/>
        <w:left w:val="none" w:sz="0" w:space="0" w:color="auto"/>
        <w:bottom w:val="none" w:sz="0" w:space="0" w:color="auto"/>
        <w:right w:val="none" w:sz="0" w:space="0" w:color="auto"/>
      </w:divBdr>
    </w:div>
    <w:div w:id="477068388">
      <w:bodyDiv w:val="1"/>
      <w:marLeft w:val="0"/>
      <w:marRight w:val="0"/>
      <w:marTop w:val="0"/>
      <w:marBottom w:val="0"/>
      <w:divBdr>
        <w:top w:val="none" w:sz="0" w:space="0" w:color="auto"/>
        <w:left w:val="none" w:sz="0" w:space="0" w:color="auto"/>
        <w:bottom w:val="none" w:sz="0" w:space="0" w:color="auto"/>
        <w:right w:val="none" w:sz="0" w:space="0" w:color="auto"/>
      </w:divBdr>
    </w:div>
    <w:div w:id="509417738">
      <w:bodyDiv w:val="1"/>
      <w:marLeft w:val="0"/>
      <w:marRight w:val="0"/>
      <w:marTop w:val="0"/>
      <w:marBottom w:val="0"/>
      <w:divBdr>
        <w:top w:val="none" w:sz="0" w:space="0" w:color="auto"/>
        <w:left w:val="none" w:sz="0" w:space="0" w:color="auto"/>
        <w:bottom w:val="none" w:sz="0" w:space="0" w:color="auto"/>
        <w:right w:val="none" w:sz="0" w:space="0" w:color="auto"/>
      </w:divBdr>
    </w:div>
    <w:div w:id="582883293">
      <w:bodyDiv w:val="1"/>
      <w:marLeft w:val="0"/>
      <w:marRight w:val="0"/>
      <w:marTop w:val="0"/>
      <w:marBottom w:val="0"/>
      <w:divBdr>
        <w:top w:val="none" w:sz="0" w:space="0" w:color="auto"/>
        <w:left w:val="none" w:sz="0" w:space="0" w:color="auto"/>
        <w:bottom w:val="none" w:sz="0" w:space="0" w:color="auto"/>
        <w:right w:val="none" w:sz="0" w:space="0" w:color="auto"/>
      </w:divBdr>
    </w:div>
    <w:div w:id="614211337">
      <w:bodyDiv w:val="1"/>
      <w:marLeft w:val="0"/>
      <w:marRight w:val="0"/>
      <w:marTop w:val="0"/>
      <w:marBottom w:val="0"/>
      <w:divBdr>
        <w:top w:val="none" w:sz="0" w:space="0" w:color="auto"/>
        <w:left w:val="none" w:sz="0" w:space="0" w:color="auto"/>
        <w:bottom w:val="none" w:sz="0" w:space="0" w:color="auto"/>
        <w:right w:val="none" w:sz="0" w:space="0" w:color="auto"/>
      </w:divBdr>
      <w:divsChild>
        <w:div w:id="20820199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518854">
      <w:bodyDiv w:val="1"/>
      <w:marLeft w:val="0"/>
      <w:marRight w:val="0"/>
      <w:marTop w:val="0"/>
      <w:marBottom w:val="0"/>
      <w:divBdr>
        <w:top w:val="none" w:sz="0" w:space="0" w:color="auto"/>
        <w:left w:val="none" w:sz="0" w:space="0" w:color="auto"/>
        <w:bottom w:val="none" w:sz="0" w:space="0" w:color="auto"/>
        <w:right w:val="none" w:sz="0" w:space="0" w:color="auto"/>
      </w:divBdr>
      <w:divsChild>
        <w:div w:id="8798212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3556462">
      <w:bodyDiv w:val="1"/>
      <w:marLeft w:val="0"/>
      <w:marRight w:val="0"/>
      <w:marTop w:val="0"/>
      <w:marBottom w:val="0"/>
      <w:divBdr>
        <w:top w:val="none" w:sz="0" w:space="0" w:color="auto"/>
        <w:left w:val="none" w:sz="0" w:space="0" w:color="auto"/>
        <w:bottom w:val="none" w:sz="0" w:space="0" w:color="auto"/>
        <w:right w:val="none" w:sz="0" w:space="0" w:color="auto"/>
      </w:divBdr>
      <w:divsChild>
        <w:div w:id="2006930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1131905">
      <w:bodyDiv w:val="1"/>
      <w:marLeft w:val="0"/>
      <w:marRight w:val="0"/>
      <w:marTop w:val="0"/>
      <w:marBottom w:val="0"/>
      <w:divBdr>
        <w:top w:val="none" w:sz="0" w:space="0" w:color="auto"/>
        <w:left w:val="none" w:sz="0" w:space="0" w:color="auto"/>
        <w:bottom w:val="none" w:sz="0" w:space="0" w:color="auto"/>
        <w:right w:val="none" w:sz="0" w:space="0" w:color="auto"/>
      </w:divBdr>
    </w:div>
    <w:div w:id="874855483">
      <w:bodyDiv w:val="1"/>
      <w:marLeft w:val="0"/>
      <w:marRight w:val="0"/>
      <w:marTop w:val="0"/>
      <w:marBottom w:val="0"/>
      <w:divBdr>
        <w:top w:val="none" w:sz="0" w:space="0" w:color="auto"/>
        <w:left w:val="none" w:sz="0" w:space="0" w:color="auto"/>
        <w:bottom w:val="none" w:sz="0" w:space="0" w:color="auto"/>
        <w:right w:val="none" w:sz="0" w:space="0" w:color="auto"/>
      </w:divBdr>
    </w:div>
    <w:div w:id="1045106052">
      <w:bodyDiv w:val="1"/>
      <w:marLeft w:val="0"/>
      <w:marRight w:val="0"/>
      <w:marTop w:val="0"/>
      <w:marBottom w:val="0"/>
      <w:divBdr>
        <w:top w:val="none" w:sz="0" w:space="0" w:color="auto"/>
        <w:left w:val="none" w:sz="0" w:space="0" w:color="auto"/>
        <w:bottom w:val="none" w:sz="0" w:space="0" w:color="auto"/>
        <w:right w:val="none" w:sz="0" w:space="0" w:color="auto"/>
      </w:divBdr>
    </w:div>
    <w:div w:id="1190803409">
      <w:bodyDiv w:val="1"/>
      <w:marLeft w:val="0"/>
      <w:marRight w:val="0"/>
      <w:marTop w:val="0"/>
      <w:marBottom w:val="0"/>
      <w:divBdr>
        <w:top w:val="none" w:sz="0" w:space="0" w:color="auto"/>
        <w:left w:val="none" w:sz="0" w:space="0" w:color="auto"/>
        <w:bottom w:val="none" w:sz="0" w:space="0" w:color="auto"/>
        <w:right w:val="none" w:sz="0" w:space="0" w:color="auto"/>
      </w:divBdr>
      <w:divsChild>
        <w:div w:id="287973890">
          <w:marLeft w:val="0"/>
          <w:marRight w:val="0"/>
          <w:marTop w:val="0"/>
          <w:marBottom w:val="0"/>
          <w:divBdr>
            <w:top w:val="none" w:sz="0" w:space="0" w:color="auto"/>
            <w:left w:val="none" w:sz="0" w:space="0" w:color="auto"/>
            <w:bottom w:val="none" w:sz="0" w:space="0" w:color="auto"/>
            <w:right w:val="none" w:sz="0" w:space="0" w:color="auto"/>
          </w:divBdr>
          <w:divsChild>
            <w:div w:id="139581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69441">
      <w:bodyDiv w:val="1"/>
      <w:marLeft w:val="0"/>
      <w:marRight w:val="0"/>
      <w:marTop w:val="0"/>
      <w:marBottom w:val="0"/>
      <w:divBdr>
        <w:top w:val="none" w:sz="0" w:space="0" w:color="auto"/>
        <w:left w:val="none" w:sz="0" w:space="0" w:color="auto"/>
        <w:bottom w:val="none" w:sz="0" w:space="0" w:color="auto"/>
        <w:right w:val="none" w:sz="0" w:space="0" w:color="auto"/>
      </w:divBdr>
    </w:div>
    <w:div w:id="1226835751">
      <w:bodyDiv w:val="1"/>
      <w:marLeft w:val="0"/>
      <w:marRight w:val="0"/>
      <w:marTop w:val="0"/>
      <w:marBottom w:val="0"/>
      <w:divBdr>
        <w:top w:val="none" w:sz="0" w:space="0" w:color="auto"/>
        <w:left w:val="none" w:sz="0" w:space="0" w:color="auto"/>
        <w:bottom w:val="none" w:sz="0" w:space="0" w:color="auto"/>
        <w:right w:val="none" w:sz="0" w:space="0" w:color="auto"/>
      </w:divBdr>
    </w:div>
    <w:div w:id="1359815430">
      <w:bodyDiv w:val="1"/>
      <w:marLeft w:val="0"/>
      <w:marRight w:val="0"/>
      <w:marTop w:val="0"/>
      <w:marBottom w:val="0"/>
      <w:divBdr>
        <w:top w:val="none" w:sz="0" w:space="0" w:color="auto"/>
        <w:left w:val="none" w:sz="0" w:space="0" w:color="auto"/>
        <w:bottom w:val="none" w:sz="0" w:space="0" w:color="auto"/>
        <w:right w:val="none" w:sz="0" w:space="0" w:color="auto"/>
      </w:divBdr>
    </w:div>
    <w:div w:id="1441072851">
      <w:bodyDiv w:val="1"/>
      <w:marLeft w:val="0"/>
      <w:marRight w:val="0"/>
      <w:marTop w:val="0"/>
      <w:marBottom w:val="0"/>
      <w:divBdr>
        <w:top w:val="none" w:sz="0" w:space="0" w:color="auto"/>
        <w:left w:val="none" w:sz="0" w:space="0" w:color="auto"/>
        <w:bottom w:val="none" w:sz="0" w:space="0" w:color="auto"/>
        <w:right w:val="none" w:sz="0" w:space="0" w:color="auto"/>
      </w:divBdr>
    </w:div>
    <w:div w:id="1455058780">
      <w:bodyDiv w:val="1"/>
      <w:marLeft w:val="0"/>
      <w:marRight w:val="0"/>
      <w:marTop w:val="0"/>
      <w:marBottom w:val="0"/>
      <w:divBdr>
        <w:top w:val="none" w:sz="0" w:space="0" w:color="auto"/>
        <w:left w:val="none" w:sz="0" w:space="0" w:color="auto"/>
        <w:bottom w:val="none" w:sz="0" w:space="0" w:color="auto"/>
        <w:right w:val="none" w:sz="0" w:space="0" w:color="auto"/>
      </w:divBdr>
    </w:div>
    <w:div w:id="1479344526">
      <w:bodyDiv w:val="1"/>
      <w:marLeft w:val="0"/>
      <w:marRight w:val="0"/>
      <w:marTop w:val="0"/>
      <w:marBottom w:val="0"/>
      <w:divBdr>
        <w:top w:val="none" w:sz="0" w:space="0" w:color="auto"/>
        <w:left w:val="none" w:sz="0" w:space="0" w:color="auto"/>
        <w:bottom w:val="none" w:sz="0" w:space="0" w:color="auto"/>
        <w:right w:val="none" w:sz="0" w:space="0" w:color="auto"/>
      </w:divBdr>
    </w:div>
    <w:div w:id="1512598197">
      <w:bodyDiv w:val="1"/>
      <w:marLeft w:val="0"/>
      <w:marRight w:val="0"/>
      <w:marTop w:val="0"/>
      <w:marBottom w:val="0"/>
      <w:divBdr>
        <w:top w:val="none" w:sz="0" w:space="0" w:color="auto"/>
        <w:left w:val="none" w:sz="0" w:space="0" w:color="auto"/>
        <w:bottom w:val="none" w:sz="0" w:space="0" w:color="auto"/>
        <w:right w:val="none" w:sz="0" w:space="0" w:color="auto"/>
      </w:divBdr>
      <w:divsChild>
        <w:div w:id="390886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2015950">
      <w:bodyDiv w:val="1"/>
      <w:marLeft w:val="0"/>
      <w:marRight w:val="0"/>
      <w:marTop w:val="0"/>
      <w:marBottom w:val="0"/>
      <w:divBdr>
        <w:top w:val="none" w:sz="0" w:space="0" w:color="auto"/>
        <w:left w:val="none" w:sz="0" w:space="0" w:color="auto"/>
        <w:bottom w:val="none" w:sz="0" w:space="0" w:color="auto"/>
        <w:right w:val="none" w:sz="0" w:space="0" w:color="auto"/>
      </w:divBdr>
    </w:div>
    <w:div w:id="1631394615">
      <w:bodyDiv w:val="1"/>
      <w:marLeft w:val="0"/>
      <w:marRight w:val="0"/>
      <w:marTop w:val="0"/>
      <w:marBottom w:val="0"/>
      <w:divBdr>
        <w:top w:val="none" w:sz="0" w:space="0" w:color="auto"/>
        <w:left w:val="none" w:sz="0" w:space="0" w:color="auto"/>
        <w:bottom w:val="none" w:sz="0" w:space="0" w:color="auto"/>
        <w:right w:val="none" w:sz="0" w:space="0" w:color="auto"/>
      </w:divBdr>
      <w:divsChild>
        <w:div w:id="584416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3705093">
      <w:bodyDiv w:val="1"/>
      <w:marLeft w:val="0"/>
      <w:marRight w:val="0"/>
      <w:marTop w:val="0"/>
      <w:marBottom w:val="0"/>
      <w:divBdr>
        <w:top w:val="none" w:sz="0" w:space="0" w:color="auto"/>
        <w:left w:val="none" w:sz="0" w:space="0" w:color="auto"/>
        <w:bottom w:val="none" w:sz="0" w:space="0" w:color="auto"/>
        <w:right w:val="none" w:sz="0" w:space="0" w:color="auto"/>
      </w:divBdr>
      <w:divsChild>
        <w:div w:id="286743968">
          <w:marLeft w:val="0"/>
          <w:marRight w:val="0"/>
          <w:marTop w:val="0"/>
          <w:marBottom w:val="0"/>
          <w:divBdr>
            <w:top w:val="none" w:sz="0" w:space="0" w:color="auto"/>
            <w:left w:val="none" w:sz="0" w:space="0" w:color="auto"/>
            <w:bottom w:val="none" w:sz="0" w:space="0" w:color="auto"/>
            <w:right w:val="none" w:sz="0" w:space="0" w:color="auto"/>
          </w:divBdr>
          <w:divsChild>
            <w:div w:id="57489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600820">
      <w:bodyDiv w:val="1"/>
      <w:marLeft w:val="0"/>
      <w:marRight w:val="0"/>
      <w:marTop w:val="0"/>
      <w:marBottom w:val="0"/>
      <w:divBdr>
        <w:top w:val="none" w:sz="0" w:space="0" w:color="auto"/>
        <w:left w:val="none" w:sz="0" w:space="0" w:color="auto"/>
        <w:bottom w:val="none" w:sz="0" w:space="0" w:color="auto"/>
        <w:right w:val="none" w:sz="0" w:space="0" w:color="auto"/>
      </w:divBdr>
    </w:div>
    <w:div w:id="1861697579">
      <w:bodyDiv w:val="1"/>
      <w:marLeft w:val="0"/>
      <w:marRight w:val="0"/>
      <w:marTop w:val="0"/>
      <w:marBottom w:val="0"/>
      <w:divBdr>
        <w:top w:val="none" w:sz="0" w:space="0" w:color="auto"/>
        <w:left w:val="none" w:sz="0" w:space="0" w:color="auto"/>
        <w:bottom w:val="none" w:sz="0" w:space="0" w:color="auto"/>
        <w:right w:val="none" w:sz="0" w:space="0" w:color="auto"/>
      </w:divBdr>
      <w:divsChild>
        <w:div w:id="1627614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0479988">
      <w:bodyDiv w:val="1"/>
      <w:marLeft w:val="0"/>
      <w:marRight w:val="0"/>
      <w:marTop w:val="0"/>
      <w:marBottom w:val="0"/>
      <w:divBdr>
        <w:top w:val="none" w:sz="0" w:space="0" w:color="auto"/>
        <w:left w:val="none" w:sz="0" w:space="0" w:color="auto"/>
        <w:bottom w:val="none" w:sz="0" w:space="0" w:color="auto"/>
        <w:right w:val="none" w:sz="0" w:space="0" w:color="auto"/>
      </w:divBdr>
      <w:divsChild>
        <w:div w:id="1218466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3994470">
      <w:bodyDiv w:val="1"/>
      <w:marLeft w:val="0"/>
      <w:marRight w:val="0"/>
      <w:marTop w:val="0"/>
      <w:marBottom w:val="0"/>
      <w:divBdr>
        <w:top w:val="none" w:sz="0" w:space="0" w:color="auto"/>
        <w:left w:val="none" w:sz="0" w:space="0" w:color="auto"/>
        <w:bottom w:val="none" w:sz="0" w:space="0" w:color="auto"/>
        <w:right w:val="none" w:sz="0" w:space="0" w:color="auto"/>
      </w:divBdr>
    </w:div>
    <w:div w:id="1956206222">
      <w:bodyDiv w:val="1"/>
      <w:marLeft w:val="0"/>
      <w:marRight w:val="0"/>
      <w:marTop w:val="0"/>
      <w:marBottom w:val="0"/>
      <w:divBdr>
        <w:top w:val="none" w:sz="0" w:space="0" w:color="auto"/>
        <w:left w:val="none" w:sz="0" w:space="0" w:color="auto"/>
        <w:bottom w:val="none" w:sz="0" w:space="0" w:color="auto"/>
        <w:right w:val="none" w:sz="0" w:space="0" w:color="auto"/>
      </w:divBdr>
    </w:div>
    <w:div w:id="1959801780">
      <w:bodyDiv w:val="1"/>
      <w:marLeft w:val="0"/>
      <w:marRight w:val="0"/>
      <w:marTop w:val="0"/>
      <w:marBottom w:val="0"/>
      <w:divBdr>
        <w:top w:val="none" w:sz="0" w:space="0" w:color="auto"/>
        <w:left w:val="none" w:sz="0" w:space="0" w:color="auto"/>
        <w:bottom w:val="none" w:sz="0" w:space="0" w:color="auto"/>
        <w:right w:val="none" w:sz="0" w:space="0" w:color="auto"/>
      </w:divBdr>
      <w:divsChild>
        <w:div w:id="378479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1522880">
      <w:bodyDiv w:val="1"/>
      <w:marLeft w:val="0"/>
      <w:marRight w:val="0"/>
      <w:marTop w:val="0"/>
      <w:marBottom w:val="0"/>
      <w:divBdr>
        <w:top w:val="none" w:sz="0" w:space="0" w:color="auto"/>
        <w:left w:val="none" w:sz="0" w:space="0" w:color="auto"/>
        <w:bottom w:val="none" w:sz="0" w:space="0" w:color="auto"/>
        <w:right w:val="none" w:sz="0" w:space="0" w:color="auto"/>
      </w:divBdr>
    </w:div>
    <w:div w:id="2064253251">
      <w:bodyDiv w:val="1"/>
      <w:marLeft w:val="0"/>
      <w:marRight w:val="0"/>
      <w:marTop w:val="0"/>
      <w:marBottom w:val="0"/>
      <w:divBdr>
        <w:top w:val="none" w:sz="0" w:space="0" w:color="auto"/>
        <w:left w:val="none" w:sz="0" w:space="0" w:color="auto"/>
        <w:bottom w:val="none" w:sz="0" w:space="0" w:color="auto"/>
        <w:right w:val="none" w:sz="0" w:space="0" w:color="auto"/>
      </w:divBdr>
    </w:div>
    <w:div w:id="2103718090">
      <w:bodyDiv w:val="1"/>
      <w:marLeft w:val="0"/>
      <w:marRight w:val="0"/>
      <w:marTop w:val="0"/>
      <w:marBottom w:val="0"/>
      <w:divBdr>
        <w:top w:val="none" w:sz="0" w:space="0" w:color="auto"/>
        <w:left w:val="none" w:sz="0" w:space="0" w:color="auto"/>
        <w:bottom w:val="none" w:sz="0" w:space="0" w:color="auto"/>
        <w:right w:val="none" w:sz="0" w:space="0" w:color="auto"/>
      </w:divBdr>
      <w:divsChild>
        <w:div w:id="604272126">
          <w:marLeft w:val="0"/>
          <w:marRight w:val="0"/>
          <w:marTop w:val="0"/>
          <w:marBottom w:val="0"/>
          <w:divBdr>
            <w:top w:val="none" w:sz="0" w:space="0" w:color="auto"/>
            <w:left w:val="none" w:sz="0" w:space="0" w:color="auto"/>
            <w:bottom w:val="none" w:sz="0" w:space="0" w:color="auto"/>
            <w:right w:val="none" w:sz="0" w:space="0" w:color="auto"/>
          </w:divBdr>
        </w:div>
        <w:div w:id="989139861">
          <w:marLeft w:val="0"/>
          <w:marRight w:val="0"/>
          <w:marTop w:val="0"/>
          <w:marBottom w:val="0"/>
          <w:divBdr>
            <w:top w:val="none" w:sz="0" w:space="0" w:color="auto"/>
            <w:left w:val="none" w:sz="0" w:space="0" w:color="auto"/>
            <w:bottom w:val="none" w:sz="0" w:space="0" w:color="auto"/>
            <w:right w:val="none" w:sz="0" w:space="0" w:color="auto"/>
          </w:divBdr>
        </w:div>
      </w:divsChild>
    </w:div>
    <w:div w:id="211192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juridica@senado.gov.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Hoja1!$B$1</c:f>
              <c:strCache>
                <c:ptCount val="1"/>
                <c:pt idx="0">
                  <c:v>MEDIO DE CONTROL</c:v>
                </c:pt>
              </c:strCache>
            </c:strRef>
          </c:tx>
          <c:spPr>
            <a:solidFill>
              <a:schemeClr val="accent2"/>
            </a:solidFill>
            <a:ln>
              <a:noFill/>
            </a:ln>
            <a:effectLst/>
          </c:spPr>
          <c:invertIfNegative val="0"/>
          <c:cat>
            <c:strRef>
              <c:f>Hoja1!$A$2:$A$5</c:f>
              <c:strCache>
                <c:ptCount val="4"/>
                <c:pt idx="0">
                  <c:v>Reparación Directa </c:v>
                </c:pt>
                <c:pt idx="1">
                  <c:v>Acciones Constitucionales</c:v>
                </c:pt>
                <c:pt idx="2">
                  <c:v>Nulidad y Restablecimiento del Derecho</c:v>
                </c:pt>
                <c:pt idx="3">
                  <c:v>Ordinario Laboral</c:v>
                </c:pt>
              </c:strCache>
            </c:strRef>
          </c:cat>
          <c:val>
            <c:numRef>
              <c:f>Hoja1!$B$2:$B$5</c:f>
              <c:numCache>
                <c:formatCode>General</c:formatCode>
                <c:ptCount val="4"/>
                <c:pt idx="0">
                  <c:v>9</c:v>
                </c:pt>
                <c:pt idx="1">
                  <c:v>2</c:v>
                </c:pt>
                <c:pt idx="2">
                  <c:v>1</c:v>
                </c:pt>
                <c:pt idx="3">
                  <c:v>1</c:v>
                </c:pt>
              </c:numCache>
            </c:numRef>
          </c:val>
          <c:extLst>
            <c:ext xmlns:c16="http://schemas.microsoft.com/office/drawing/2014/chart" uri="{C3380CC4-5D6E-409C-BE32-E72D297353CC}">
              <c16:uniqueId val="{00000000-3B06-49CF-A1E7-089B7DEBB838}"/>
            </c:ext>
          </c:extLst>
        </c:ser>
        <c:dLbls>
          <c:showLegendKey val="0"/>
          <c:showVal val="0"/>
          <c:showCatName val="0"/>
          <c:showSerName val="0"/>
          <c:showPercent val="0"/>
          <c:showBubbleSize val="0"/>
        </c:dLbls>
        <c:gapWidth val="219"/>
        <c:overlap val="-27"/>
        <c:axId val="1667783567"/>
        <c:axId val="1667767247"/>
      </c:barChart>
      <c:catAx>
        <c:axId val="1667783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67767247"/>
        <c:crosses val="autoZero"/>
        <c:auto val="1"/>
        <c:lblAlgn val="ctr"/>
        <c:lblOffset val="100"/>
        <c:noMultiLvlLbl val="0"/>
      </c:catAx>
      <c:valAx>
        <c:axId val="16677672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677835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Subcausas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4-9553-428C-BEEA-EC58BED3B9F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5-9553-428C-BEEA-EC58BED3B9F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1-9553-428C-BEEA-EC58BED3B9F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2-9553-428C-BEEA-EC58BED3B9F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3-9553-428C-BEEA-EC58BED3B9FC}"/>
              </c:ext>
            </c:extLst>
          </c:dPt>
          <c:dLbls>
            <c:dLbl>
              <c:idx val="0"/>
              <c:layout>
                <c:manualLayout>
                  <c:x val="1.2713180231437526E-3"/>
                  <c:y val="-0.10382067053676347"/>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53-428C-BEEA-EC58BED3B9FC}"/>
                </c:ext>
              </c:extLst>
            </c:dLbl>
            <c:dLbl>
              <c:idx val="1"/>
              <c:layout>
                <c:manualLayout>
                  <c:x val="-6.2359456314560859E-3"/>
                  <c:y val="-2.9051513704069529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53-428C-BEEA-EC58BED3B9FC}"/>
                </c:ext>
              </c:extLst>
            </c:dLbl>
            <c:dLbl>
              <c:idx val="2"/>
              <c:layout>
                <c:manualLayout>
                  <c:x val="2.6400796681919744E-3"/>
                  <c:y val="2.1370905116205468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53-428C-BEEA-EC58BED3B9FC}"/>
                </c:ext>
              </c:extLst>
            </c:dLbl>
            <c:dLbl>
              <c:idx val="3"/>
              <c:layout>
                <c:manualLayout>
                  <c:x val="2.104514530878563E-2"/>
                  <c:y val="2.5377363743190457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53-428C-BEEA-EC58BED3B9FC}"/>
                </c:ext>
              </c:extLst>
            </c:dLbl>
            <c:dLbl>
              <c:idx val="4"/>
              <c:layout>
                <c:manualLayout>
                  <c:x val="4.7005482542243418E-2"/>
                  <c:y val="-1.9600350477217515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53-428C-BEEA-EC58BED3B9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Daños derivados de la actividad legislativa</c:v>
                </c:pt>
                <c:pt idx="1">
                  <c:v>Acción popular</c:v>
                </c:pt>
                <c:pt idx="2">
                  <c:v>Detención preventiva de la libertad con fines de extradición</c:v>
                </c:pt>
                <c:pt idx="3">
                  <c:v>Indebida liquidación régimen de cesantías</c:v>
                </c:pt>
                <c:pt idx="4">
                  <c:v>Ordinario Laboral</c:v>
                </c:pt>
              </c:strCache>
            </c:strRef>
          </c:cat>
          <c:val>
            <c:numRef>
              <c:f>Hoja1!$B$2:$B$6</c:f>
              <c:numCache>
                <c:formatCode>General</c:formatCode>
                <c:ptCount val="5"/>
                <c:pt idx="0">
                  <c:v>8</c:v>
                </c:pt>
                <c:pt idx="1">
                  <c:v>2</c:v>
                </c:pt>
                <c:pt idx="2">
                  <c:v>1</c:v>
                </c:pt>
                <c:pt idx="3">
                  <c:v>1</c:v>
                </c:pt>
                <c:pt idx="4">
                  <c:v>1</c:v>
                </c:pt>
              </c:numCache>
            </c:numRef>
          </c:val>
          <c:extLst>
            <c:ext xmlns:c16="http://schemas.microsoft.com/office/drawing/2014/chart" uri="{C3380CC4-5D6E-409C-BE32-E72D297353CC}">
              <c16:uniqueId val="{00000000-9553-428C-BEEA-EC58BED3B9F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E8CF1-D35C-408D-A45B-149ABD0E2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Pages>
  <Words>1451</Words>
  <Characters>7983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Invitado juridica</dc:creator>
  <cp:keywords/>
  <dc:description/>
  <cp:lastModifiedBy>Queenie</cp:lastModifiedBy>
  <cp:revision>4</cp:revision>
  <cp:lastPrinted>2024-03-06T13:46:00Z</cp:lastPrinted>
  <dcterms:created xsi:type="dcterms:W3CDTF">2026-07-03T14:18:00Z</dcterms:created>
  <dcterms:modified xsi:type="dcterms:W3CDTF">2026-07-03T15:35:00Z</dcterms:modified>
</cp:coreProperties>
</file>