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2733F" w:rsidRPr="0092733F" w:rsidRDefault="0092733F" w:rsidP="00117551">
      <w:pPr>
        <w:spacing w:after="0"/>
        <w:rPr>
          <w:rFonts w:ascii="Arial Narrow" w:hAnsi="Arial Narrow"/>
          <w:b/>
          <w:sz w:val="24"/>
          <w:szCs w:val="24"/>
        </w:rPr>
      </w:pPr>
      <w:bookmarkStart w:id="0" w:name="_GoBack"/>
      <w:bookmarkEnd w:id="0"/>
    </w:p>
    <w:p w:rsidR="0092733F" w:rsidRPr="0092733F" w:rsidRDefault="0092733F" w:rsidP="00117551">
      <w:pPr>
        <w:spacing w:after="0"/>
        <w:rPr>
          <w:rFonts w:ascii="Arial Narrow" w:hAnsi="Arial Narrow"/>
          <w:b/>
          <w:sz w:val="24"/>
          <w:szCs w:val="24"/>
        </w:rPr>
      </w:pPr>
      <w:r w:rsidRPr="0092733F">
        <w:rPr>
          <w:rFonts w:ascii="Arial Narrow" w:hAnsi="Arial Narrow"/>
          <w:b/>
          <w:sz w:val="24"/>
          <w:szCs w:val="24"/>
        </w:rPr>
        <w:t xml:space="preserve">Bogotá D.C., </w:t>
      </w:r>
      <w:r w:rsidR="000C1EC0">
        <w:rPr>
          <w:rFonts w:ascii="Arial Narrow" w:hAnsi="Arial Narrow"/>
          <w:b/>
          <w:sz w:val="24"/>
          <w:szCs w:val="24"/>
        </w:rPr>
        <w:t>noviembre</w:t>
      </w:r>
      <w:r w:rsidRPr="0092733F">
        <w:rPr>
          <w:rFonts w:ascii="Arial Narrow" w:hAnsi="Arial Narrow"/>
          <w:b/>
          <w:sz w:val="24"/>
          <w:szCs w:val="24"/>
        </w:rPr>
        <w:t xml:space="preserve"> de 2019.</w:t>
      </w:r>
    </w:p>
    <w:p w:rsidR="0092733F" w:rsidRPr="0092733F" w:rsidRDefault="0092733F" w:rsidP="00117551">
      <w:pPr>
        <w:spacing w:after="0"/>
        <w:rPr>
          <w:rFonts w:ascii="Arial Narrow" w:hAnsi="Arial Narrow"/>
          <w:b/>
          <w:sz w:val="24"/>
          <w:szCs w:val="24"/>
        </w:rPr>
      </w:pPr>
    </w:p>
    <w:p w:rsidR="0092733F" w:rsidRPr="0092733F" w:rsidRDefault="0092733F" w:rsidP="00117551">
      <w:pPr>
        <w:spacing w:after="0"/>
        <w:rPr>
          <w:rFonts w:ascii="Arial Narrow" w:hAnsi="Arial Narrow"/>
          <w:b/>
          <w:sz w:val="24"/>
          <w:szCs w:val="24"/>
        </w:rPr>
      </w:pPr>
    </w:p>
    <w:p w:rsidR="0092733F" w:rsidRPr="0092733F" w:rsidRDefault="0092733F" w:rsidP="00117551">
      <w:pPr>
        <w:spacing w:after="0"/>
        <w:rPr>
          <w:rFonts w:ascii="Arial Narrow" w:hAnsi="Arial Narrow"/>
          <w:sz w:val="24"/>
          <w:szCs w:val="24"/>
        </w:rPr>
      </w:pPr>
      <w:r w:rsidRPr="0092733F">
        <w:rPr>
          <w:rFonts w:ascii="Arial Narrow" w:hAnsi="Arial Narrow"/>
          <w:sz w:val="24"/>
          <w:szCs w:val="24"/>
        </w:rPr>
        <w:t xml:space="preserve">Honorable Representante </w:t>
      </w:r>
    </w:p>
    <w:p w:rsidR="0092733F" w:rsidRPr="00C939F8" w:rsidRDefault="00802E9C" w:rsidP="00117551">
      <w:pPr>
        <w:spacing w:after="0"/>
        <w:rPr>
          <w:rFonts w:ascii="Arial Narrow" w:hAnsi="Arial Narrow"/>
          <w:b/>
          <w:sz w:val="24"/>
          <w:szCs w:val="24"/>
        </w:rPr>
      </w:pPr>
      <w:r w:rsidRPr="00C939F8">
        <w:rPr>
          <w:rFonts w:ascii="Arial Narrow" w:hAnsi="Arial Narrow"/>
          <w:b/>
          <w:sz w:val="24"/>
          <w:szCs w:val="24"/>
        </w:rPr>
        <w:t>RUBEN DARIO MOLANO PIÑEROS</w:t>
      </w:r>
    </w:p>
    <w:p w:rsidR="0092733F" w:rsidRPr="0092733F" w:rsidRDefault="0092733F" w:rsidP="00117551">
      <w:pPr>
        <w:spacing w:after="0"/>
        <w:rPr>
          <w:rFonts w:ascii="Arial Narrow" w:hAnsi="Arial Narrow"/>
          <w:sz w:val="24"/>
          <w:szCs w:val="24"/>
        </w:rPr>
      </w:pPr>
      <w:r w:rsidRPr="0092733F">
        <w:rPr>
          <w:rFonts w:ascii="Arial Narrow" w:hAnsi="Arial Narrow"/>
          <w:sz w:val="24"/>
          <w:szCs w:val="24"/>
        </w:rPr>
        <w:t>Presidente</w:t>
      </w:r>
    </w:p>
    <w:p w:rsidR="0092733F" w:rsidRPr="0092733F" w:rsidRDefault="0092733F" w:rsidP="00117551">
      <w:pPr>
        <w:spacing w:after="0"/>
        <w:rPr>
          <w:rFonts w:ascii="Arial Narrow" w:hAnsi="Arial Narrow"/>
          <w:sz w:val="24"/>
          <w:szCs w:val="24"/>
        </w:rPr>
      </w:pPr>
      <w:r w:rsidRPr="0092733F">
        <w:rPr>
          <w:rFonts w:ascii="Arial Narrow" w:hAnsi="Arial Narrow"/>
          <w:sz w:val="24"/>
          <w:szCs w:val="24"/>
        </w:rPr>
        <w:t xml:space="preserve">Comisión Quinta Constitucional Permanente </w:t>
      </w:r>
    </w:p>
    <w:p w:rsidR="0092733F" w:rsidRPr="0092733F" w:rsidRDefault="0092733F" w:rsidP="00117551">
      <w:pPr>
        <w:spacing w:after="0"/>
        <w:rPr>
          <w:rFonts w:ascii="Arial Narrow" w:hAnsi="Arial Narrow"/>
          <w:sz w:val="24"/>
          <w:szCs w:val="24"/>
        </w:rPr>
      </w:pPr>
      <w:r w:rsidRPr="0092733F">
        <w:rPr>
          <w:rFonts w:ascii="Arial Narrow" w:hAnsi="Arial Narrow"/>
          <w:sz w:val="24"/>
          <w:szCs w:val="24"/>
        </w:rPr>
        <w:t>Cámara de Representantes.</w:t>
      </w:r>
    </w:p>
    <w:p w:rsidR="0092733F" w:rsidRPr="0092733F" w:rsidRDefault="0092733F" w:rsidP="00117551">
      <w:pPr>
        <w:spacing w:after="0"/>
        <w:rPr>
          <w:rFonts w:ascii="Arial Narrow" w:hAnsi="Arial Narrow"/>
          <w:sz w:val="24"/>
          <w:szCs w:val="24"/>
        </w:rPr>
      </w:pPr>
      <w:r w:rsidRPr="0092733F">
        <w:rPr>
          <w:rFonts w:ascii="Arial Narrow" w:hAnsi="Arial Narrow"/>
          <w:sz w:val="24"/>
          <w:szCs w:val="24"/>
        </w:rPr>
        <w:t xml:space="preserve"> </w:t>
      </w:r>
    </w:p>
    <w:p w:rsidR="0092733F" w:rsidRPr="0092733F" w:rsidRDefault="0092733F" w:rsidP="00117551">
      <w:pPr>
        <w:spacing w:after="0"/>
        <w:rPr>
          <w:rFonts w:ascii="Arial Narrow" w:hAnsi="Arial Narrow"/>
          <w:sz w:val="24"/>
          <w:szCs w:val="24"/>
        </w:rPr>
      </w:pPr>
    </w:p>
    <w:p w:rsidR="0092733F" w:rsidRPr="0092733F" w:rsidRDefault="0092733F" w:rsidP="00802E9C">
      <w:pPr>
        <w:spacing w:after="0"/>
        <w:ind w:left="2160"/>
        <w:jc w:val="both"/>
        <w:rPr>
          <w:rFonts w:ascii="Arial Narrow" w:hAnsi="Arial Narrow"/>
          <w:b/>
          <w:sz w:val="24"/>
          <w:szCs w:val="24"/>
        </w:rPr>
      </w:pPr>
      <w:r w:rsidRPr="0092733F">
        <w:rPr>
          <w:rFonts w:ascii="Arial Narrow" w:hAnsi="Arial Narrow"/>
          <w:b/>
          <w:sz w:val="24"/>
          <w:szCs w:val="24"/>
        </w:rPr>
        <w:t xml:space="preserve">Asunto: Informe de Ponencia para </w:t>
      </w:r>
      <w:r w:rsidR="00802E9C">
        <w:rPr>
          <w:rFonts w:ascii="Arial Narrow" w:hAnsi="Arial Narrow"/>
          <w:b/>
          <w:sz w:val="24"/>
          <w:szCs w:val="24"/>
        </w:rPr>
        <w:t>Primer</w:t>
      </w:r>
      <w:r w:rsidRPr="0092733F">
        <w:rPr>
          <w:rFonts w:ascii="Arial Narrow" w:hAnsi="Arial Narrow"/>
          <w:b/>
          <w:sz w:val="24"/>
          <w:szCs w:val="24"/>
        </w:rPr>
        <w:t xml:space="preserve"> Debate al Proyecto de Ley </w:t>
      </w:r>
      <w:r w:rsidR="00802E9C">
        <w:rPr>
          <w:rFonts w:ascii="Arial Narrow" w:hAnsi="Arial Narrow"/>
          <w:b/>
          <w:sz w:val="24"/>
          <w:szCs w:val="24"/>
        </w:rPr>
        <w:t>035</w:t>
      </w:r>
      <w:r w:rsidR="0069036A">
        <w:rPr>
          <w:rFonts w:ascii="Arial Narrow" w:hAnsi="Arial Narrow"/>
          <w:b/>
          <w:sz w:val="24"/>
          <w:szCs w:val="24"/>
        </w:rPr>
        <w:t xml:space="preserve"> de 2019</w:t>
      </w:r>
      <w:r w:rsidRPr="0092733F">
        <w:rPr>
          <w:rFonts w:ascii="Arial Narrow" w:hAnsi="Arial Narrow"/>
          <w:b/>
          <w:sz w:val="24"/>
          <w:szCs w:val="24"/>
        </w:rPr>
        <w:t xml:space="preserve"> Cámara</w:t>
      </w:r>
      <w:r w:rsidR="00802E9C">
        <w:rPr>
          <w:rFonts w:ascii="Arial Narrow" w:hAnsi="Arial Narrow"/>
          <w:b/>
          <w:sz w:val="24"/>
          <w:szCs w:val="24"/>
        </w:rPr>
        <w:t xml:space="preserve"> </w:t>
      </w:r>
      <w:r w:rsidR="00802E9C" w:rsidRPr="00802E9C">
        <w:rPr>
          <w:rFonts w:ascii="Arial Narrow" w:hAnsi="Arial Narrow"/>
          <w:b/>
          <w:i/>
          <w:sz w:val="24"/>
          <w:szCs w:val="24"/>
        </w:rPr>
        <w:t>“Por el cual se dictan normas orientadas a regular la disposición final de residuos sólidos en el territorio nacional”</w:t>
      </w:r>
      <w:r w:rsidRPr="0092733F">
        <w:rPr>
          <w:rFonts w:ascii="Arial Narrow" w:hAnsi="Arial Narrow"/>
          <w:b/>
          <w:sz w:val="24"/>
          <w:szCs w:val="24"/>
        </w:rPr>
        <w:t xml:space="preserve">. </w:t>
      </w:r>
    </w:p>
    <w:p w:rsidR="0092733F" w:rsidRPr="0092733F" w:rsidRDefault="0092733F" w:rsidP="00117551">
      <w:pPr>
        <w:spacing w:after="0"/>
        <w:rPr>
          <w:rFonts w:ascii="Arial Narrow" w:hAnsi="Arial Narrow"/>
          <w:b/>
          <w:sz w:val="24"/>
          <w:szCs w:val="24"/>
        </w:rPr>
      </w:pPr>
    </w:p>
    <w:p w:rsidR="0092733F" w:rsidRPr="0092733F" w:rsidRDefault="0092733F" w:rsidP="00117551">
      <w:pPr>
        <w:spacing w:after="0"/>
        <w:rPr>
          <w:rFonts w:ascii="Arial Narrow" w:hAnsi="Arial Narrow"/>
          <w:b/>
          <w:sz w:val="24"/>
          <w:szCs w:val="24"/>
        </w:rPr>
      </w:pPr>
    </w:p>
    <w:p w:rsidR="0092733F" w:rsidRPr="0092733F" w:rsidRDefault="0092733F" w:rsidP="00117551">
      <w:pPr>
        <w:spacing w:after="0"/>
        <w:jc w:val="both"/>
        <w:rPr>
          <w:rFonts w:ascii="Arial Narrow" w:hAnsi="Arial Narrow"/>
          <w:sz w:val="24"/>
          <w:szCs w:val="24"/>
        </w:rPr>
      </w:pPr>
      <w:r w:rsidRPr="0092733F">
        <w:rPr>
          <w:rFonts w:ascii="Arial Narrow" w:hAnsi="Arial Narrow"/>
          <w:sz w:val="24"/>
          <w:szCs w:val="24"/>
        </w:rPr>
        <w:t xml:space="preserve">En cumplimiento del encargo que me hiciera la Mesa Directiva de la Comisión Quinta Constitucional Permanente </w:t>
      </w:r>
      <w:r w:rsidR="002910B1">
        <w:rPr>
          <w:rFonts w:ascii="Arial Narrow" w:hAnsi="Arial Narrow"/>
          <w:sz w:val="24"/>
          <w:szCs w:val="24"/>
        </w:rPr>
        <w:t>de la Cámara de Representantes y</w:t>
      </w:r>
      <w:r w:rsidRPr="0092733F">
        <w:rPr>
          <w:rFonts w:ascii="Arial Narrow" w:hAnsi="Arial Narrow"/>
          <w:sz w:val="24"/>
          <w:szCs w:val="24"/>
        </w:rPr>
        <w:t xml:space="preserve"> de conformidad con los artículos 144, 150 y 156 de la Ley 5ta de 1992, me permito presentar informe de ponencia para </w:t>
      </w:r>
      <w:r w:rsidR="00802E9C">
        <w:rPr>
          <w:rFonts w:ascii="Arial Narrow" w:hAnsi="Arial Narrow"/>
          <w:sz w:val="24"/>
          <w:szCs w:val="24"/>
        </w:rPr>
        <w:t>primer</w:t>
      </w:r>
      <w:r w:rsidRPr="0092733F">
        <w:rPr>
          <w:rFonts w:ascii="Arial Narrow" w:hAnsi="Arial Narrow"/>
          <w:sz w:val="24"/>
          <w:szCs w:val="24"/>
        </w:rPr>
        <w:t xml:space="preserve"> debate al Proyecto de Ley </w:t>
      </w:r>
      <w:r w:rsidR="00802E9C">
        <w:rPr>
          <w:rFonts w:ascii="Arial Narrow" w:hAnsi="Arial Narrow"/>
          <w:sz w:val="24"/>
          <w:szCs w:val="24"/>
        </w:rPr>
        <w:t>035</w:t>
      </w:r>
      <w:r w:rsidR="002910B1" w:rsidRPr="002910B1">
        <w:rPr>
          <w:rFonts w:ascii="Arial Narrow" w:hAnsi="Arial Narrow"/>
          <w:sz w:val="24"/>
          <w:szCs w:val="24"/>
        </w:rPr>
        <w:t xml:space="preserve"> de 2019 </w:t>
      </w:r>
      <w:r w:rsidRPr="0092733F">
        <w:rPr>
          <w:rFonts w:ascii="Arial Narrow" w:hAnsi="Arial Narrow"/>
          <w:sz w:val="24"/>
          <w:szCs w:val="24"/>
        </w:rPr>
        <w:t xml:space="preserve">Cámara, </w:t>
      </w:r>
      <w:r w:rsidR="00802E9C" w:rsidRPr="00802E9C">
        <w:rPr>
          <w:rFonts w:ascii="Arial Narrow" w:hAnsi="Arial Narrow"/>
          <w:sz w:val="24"/>
          <w:szCs w:val="24"/>
        </w:rPr>
        <w:t>“Por el cual se dictan normas orientadas a regular la disposición final de residuos sólidos en el territorio nacional”</w:t>
      </w:r>
      <w:r w:rsidRPr="0092733F">
        <w:rPr>
          <w:rFonts w:ascii="Arial Narrow" w:hAnsi="Arial Narrow"/>
          <w:i/>
          <w:sz w:val="24"/>
          <w:szCs w:val="24"/>
        </w:rPr>
        <w:t xml:space="preserve">, </w:t>
      </w:r>
      <w:r w:rsidRPr="0092733F">
        <w:rPr>
          <w:rFonts w:ascii="Arial Narrow" w:hAnsi="Arial Narrow"/>
          <w:sz w:val="24"/>
          <w:szCs w:val="24"/>
        </w:rPr>
        <w:t xml:space="preserve"> en la Secretaria de la Comisión.</w:t>
      </w:r>
    </w:p>
    <w:p w:rsidR="00A02E48" w:rsidRPr="0092733F" w:rsidRDefault="00A02E48"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r w:rsidRPr="0092733F">
        <w:rPr>
          <w:rFonts w:ascii="Arial Narrow" w:hAnsi="Arial Narrow"/>
          <w:sz w:val="24"/>
          <w:szCs w:val="24"/>
        </w:rPr>
        <w:t>Cordialmente</w:t>
      </w: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b/>
          <w:sz w:val="24"/>
          <w:szCs w:val="24"/>
        </w:rPr>
      </w:pPr>
      <w:r w:rsidRPr="0092733F">
        <w:rPr>
          <w:rFonts w:ascii="Arial Narrow" w:hAnsi="Arial Narrow"/>
          <w:b/>
          <w:sz w:val="24"/>
          <w:szCs w:val="24"/>
        </w:rPr>
        <w:t>TERESA ENRÍQUEZ ROSERO</w:t>
      </w:r>
    </w:p>
    <w:p w:rsidR="0092733F" w:rsidRPr="0092733F" w:rsidRDefault="0092733F" w:rsidP="00117551">
      <w:pPr>
        <w:spacing w:after="0"/>
        <w:jc w:val="both"/>
        <w:rPr>
          <w:rFonts w:ascii="Arial Narrow" w:hAnsi="Arial Narrow"/>
          <w:b/>
          <w:sz w:val="24"/>
          <w:szCs w:val="24"/>
        </w:rPr>
      </w:pPr>
      <w:r w:rsidRPr="0092733F">
        <w:rPr>
          <w:rFonts w:ascii="Arial Narrow" w:hAnsi="Arial Narrow"/>
          <w:b/>
          <w:sz w:val="24"/>
          <w:szCs w:val="24"/>
        </w:rPr>
        <w:t>Representante a la Cámara</w:t>
      </w:r>
    </w:p>
    <w:p w:rsidR="0092733F" w:rsidRPr="0092733F" w:rsidRDefault="0092733F" w:rsidP="00117551">
      <w:pPr>
        <w:spacing w:after="0"/>
        <w:jc w:val="both"/>
        <w:rPr>
          <w:rFonts w:ascii="Arial Narrow" w:hAnsi="Arial Narrow"/>
          <w:b/>
          <w:sz w:val="24"/>
          <w:szCs w:val="24"/>
        </w:rPr>
      </w:pPr>
      <w:r w:rsidRPr="0092733F">
        <w:rPr>
          <w:rFonts w:ascii="Arial Narrow" w:hAnsi="Arial Narrow"/>
          <w:b/>
          <w:sz w:val="24"/>
          <w:szCs w:val="24"/>
        </w:rPr>
        <w:t xml:space="preserve">Departamento de Nariño. </w:t>
      </w: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Default="0092733F"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Default="000C1EC0" w:rsidP="00117551">
      <w:pPr>
        <w:spacing w:after="0"/>
        <w:jc w:val="both"/>
        <w:rPr>
          <w:rFonts w:ascii="Arial Narrow" w:hAnsi="Arial Narrow"/>
          <w:sz w:val="24"/>
          <w:szCs w:val="24"/>
        </w:rPr>
      </w:pPr>
    </w:p>
    <w:p w:rsidR="000C1EC0" w:rsidRPr="0092733F" w:rsidRDefault="000C1EC0"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center"/>
        <w:rPr>
          <w:rFonts w:ascii="Arial Narrow" w:hAnsi="Arial Narrow"/>
          <w:b/>
          <w:sz w:val="24"/>
          <w:szCs w:val="24"/>
        </w:rPr>
      </w:pPr>
      <w:r w:rsidRPr="0092733F">
        <w:rPr>
          <w:rFonts w:ascii="Arial Narrow" w:hAnsi="Arial Narrow"/>
          <w:b/>
          <w:sz w:val="24"/>
          <w:szCs w:val="24"/>
        </w:rPr>
        <w:lastRenderedPageBreak/>
        <w:t xml:space="preserve">INFORME DE PONENCIA PARA </w:t>
      </w:r>
      <w:r w:rsidR="00802E9C">
        <w:rPr>
          <w:rFonts w:ascii="Arial Narrow" w:hAnsi="Arial Narrow"/>
          <w:b/>
          <w:sz w:val="24"/>
          <w:szCs w:val="24"/>
        </w:rPr>
        <w:t>PRIMER</w:t>
      </w:r>
      <w:r w:rsidRPr="0092733F">
        <w:rPr>
          <w:rFonts w:ascii="Arial Narrow" w:hAnsi="Arial Narrow"/>
          <w:b/>
          <w:sz w:val="24"/>
          <w:szCs w:val="24"/>
        </w:rPr>
        <w:t xml:space="preserve"> DEBATE AL PROYECTO DE LEY </w:t>
      </w:r>
      <w:r w:rsidR="00802E9C">
        <w:rPr>
          <w:rFonts w:ascii="Arial Narrow" w:hAnsi="Arial Narrow"/>
          <w:b/>
          <w:sz w:val="24"/>
          <w:szCs w:val="24"/>
        </w:rPr>
        <w:t>035</w:t>
      </w:r>
      <w:r w:rsidR="002910B1" w:rsidRPr="002910B1">
        <w:rPr>
          <w:rFonts w:ascii="Arial Narrow" w:hAnsi="Arial Narrow"/>
          <w:b/>
          <w:sz w:val="24"/>
          <w:szCs w:val="24"/>
        </w:rPr>
        <w:t xml:space="preserve"> DE 2019 </w:t>
      </w:r>
      <w:r w:rsidRPr="0092733F">
        <w:rPr>
          <w:rFonts w:ascii="Arial Narrow" w:hAnsi="Arial Narrow"/>
          <w:b/>
          <w:sz w:val="24"/>
          <w:szCs w:val="24"/>
        </w:rPr>
        <w:t>CÁMARA.</w:t>
      </w:r>
    </w:p>
    <w:p w:rsidR="0092733F" w:rsidRPr="0092733F" w:rsidRDefault="002910B1" w:rsidP="00117551">
      <w:pPr>
        <w:spacing w:after="0"/>
        <w:jc w:val="center"/>
        <w:rPr>
          <w:rFonts w:ascii="Arial Narrow" w:hAnsi="Arial Narrow"/>
          <w:i/>
          <w:sz w:val="24"/>
          <w:szCs w:val="24"/>
        </w:rPr>
      </w:pPr>
      <w:r w:rsidRPr="0092733F">
        <w:rPr>
          <w:rFonts w:ascii="Arial Narrow" w:hAnsi="Arial Narrow"/>
          <w:sz w:val="24"/>
          <w:szCs w:val="24"/>
        </w:rPr>
        <w:t>“</w:t>
      </w:r>
      <w:r w:rsidR="00802E9C" w:rsidRPr="00802E9C">
        <w:rPr>
          <w:rFonts w:ascii="Arial Narrow" w:hAnsi="Arial Narrow"/>
          <w:i/>
          <w:sz w:val="24"/>
          <w:szCs w:val="24"/>
        </w:rPr>
        <w:t>“Por el cual se dictan normas orientadas a regular la disposición final de residuos sólidos en el territorio nacional”</w:t>
      </w:r>
      <w:r>
        <w:rPr>
          <w:rFonts w:ascii="Arial Narrow" w:hAnsi="Arial Narrow"/>
          <w:i/>
          <w:sz w:val="24"/>
          <w:szCs w:val="24"/>
        </w:rPr>
        <w:t>”</w:t>
      </w:r>
    </w:p>
    <w:p w:rsidR="0092733F" w:rsidRPr="0092733F" w:rsidRDefault="0092733F" w:rsidP="00117551">
      <w:pPr>
        <w:spacing w:after="0"/>
        <w:rPr>
          <w:rFonts w:ascii="Arial Narrow" w:hAnsi="Arial Narrow"/>
          <w:i/>
          <w:sz w:val="24"/>
          <w:szCs w:val="24"/>
        </w:rPr>
      </w:pPr>
    </w:p>
    <w:p w:rsidR="0092733F" w:rsidRPr="0092733F" w:rsidRDefault="0092733F" w:rsidP="00117551">
      <w:pPr>
        <w:numPr>
          <w:ilvl w:val="0"/>
          <w:numId w:val="9"/>
        </w:numPr>
        <w:pBdr>
          <w:top w:val="nil"/>
          <w:left w:val="nil"/>
          <w:bottom w:val="nil"/>
          <w:right w:val="nil"/>
          <w:between w:val="nil"/>
        </w:pBdr>
        <w:spacing w:after="0"/>
        <w:contextualSpacing/>
        <w:jc w:val="center"/>
        <w:rPr>
          <w:rFonts w:ascii="Arial Narrow" w:hAnsi="Arial Narrow"/>
          <w:b/>
          <w:sz w:val="24"/>
          <w:szCs w:val="24"/>
        </w:rPr>
      </w:pPr>
      <w:r w:rsidRPr="0092733F">
        <w:rPr>
          <w:rFonts w:ascii="Arial Narrow" w:hAnsi="Arial Narrow"/>
          <w:b/>
          <w:sz w:val="24"/>
          <w:szCs w:val="24"/>
        </w:rPr>
        <w:t>ANTECEDENTES DEL PROYECTO</w:t>
      </w:r>
    </w:p>
    <w:p w:rsidR="0092733F" w:rsidRPr="0092733F" w:rsidRDefault="0092733F" w:rsidP="00117551">
      <w:pPr>
        <w:spacing w:after="0"/>
        <w:jc w:val="center"/>
        <w:rPr>
          <w:rFonts w:ascii="Arial Narrow" w:hAnsi="Arial Narrow"/>
          <w:b/>
          <w:sz w:val="24"/>
          <w:szCs w:val="24"/>
        </w:rPr>
      </w:pPr>
    </w:p>
    <w:p w:rsidR="0092733F" w:rsidRDefault="0092733F" w:rsidP="00117551">
      <w:pPr>
        <w:spacing w:after="0"/>
        <w:jc w:val="both"/>
        <w:rPr>
          <w:rFonts w:ascii="Arial Narrow" w:hAnsi="Arial Narrow"/>
          <w:sz w:val="24"/>
          <w:szCs w:val="24"/>
        </w:rPr>
      </w:pPr>
      <w:r w:rsidRPr="0092733F">
        <w:rPr>
          <w:rFonts w:ascii="Arial Narrow" w:hAnsi="Arial Narrow"/>
          <w:sz w:val="24"/>
          <w:szCs w:val="24"/>
        </w:rPr>
        <w:t>El Pr</w:t>
      </w:r>
      <w:r w:rsidR="00547754">
        <w:rPr>
          <w:rFonts w:ascii="Arial Narrow" w:hAnsi="Arial Narrow"/>
          <w:sz w:val="24"/>
          <w:szCs w:val="24"/>
        </w:rPr>
        <w:t xml:space="preserve">oyecto de Ley fue radicado </w:t>
      </w:r>
      <w:r w:rsidR="00802E9C">
        <w:rPr>
          <w:rFonts w:ascii="Arial Narrow" w:hAnsi="Arial Narrow"/>
          <w:sz w:val="24"/>
          <w:szCs w:val="24"/>
        </w:rPr>
        <w:t xml:space="preserve">en julio de 2019 </w:t>
      </w:r>
      <w:r w:rsidR="00547754">
        <w:rPr>
          <w:rFonts w:ascii="Arial Narrow" w:hAnsi="Arial Narrow"/>
          <w:sz w:val="24"/>
          <w:szCs w:val="24"/>
        </w:rPr>
        <w:t xml:space="preserve">por </w:t>
      </w:r>
      <w:r w:rsidR="00802E9C">
        <w:rPr>
          <w:rFonts w:ascii="Arial Narrow" w:hAnsi="Arial Narrow"/>
          <w:sz w:val="24"/>
          <w:szCs w:val="24"/>
        </w:rPr>
        <w:t>el</w:t>
      </w:r>
      <w:r w:rsidRPr="0092733F">
        <w:rPr>
          <w:rFonts w:ascii="Arial Narrow" w:hAnsi="Arial Narrow"/>
          <w:sz w:val="24"/>
          <w:szCs w:val="24"/>
        </w:rPr>
        <w:t xml:space="preserve"> H.R. </w:t>
      </w:r>
      <w:r w:rsidR="00802E9C">
        <w:rPr>
          <w:rFonts w:ascii="Arial Narrow" w:hAnsi="Arial Narrow"/>
          <w:sz w:val="24"/>
          <w:szCs w:val="24"/>
        </w:rPr>
        <w:t>Fabián Díaz</w:t>
      </w:r>
      <w:r w:rsidR="00C8790A">
        <w:rPr>
          <w:rFonts w:ascii="Arial Narrow" w:hAnsi="Arial Narrow"/>
          <w:sz w:val="24"/>
          <w:szCs w:val="24"/>
        </w:rPr>
        <w:t xml:space="preserve"> Plata </w:t>
      </w:r>
      <w:r w:rsidR="005C526F">
        <w:rPr>
          <w:rFonts w:ascii="Arial Narrow" w:hAnsi="Arial Narrow"/>
          <w:sz w:val="24"/>
          <w:szCs w:val="24"/>
        </w:rPr>
        <w:t xml:space="preserve">quien en oportunidades anteriores había presentado la iniciativa en las mismas condiciones bajo el Proyecto de Ley No. 263 de 2018 Cámara </w:t>
      </w:r>
      <w:r w:rsidR="00DA4F74" w:rsidRPr="002737BA">
        <w:rPr>
          <w:rFonts w:ascii="Arial Narrow" w:hAnsi="Arial Narrow" w:cs="Arial"/>
          <w:i/>
          <w:sz w:val="24"/>
          <w:szCs w:val="24"/>
        </w:rPr>
        <w:t>“</w:t>
      </w:r>
      <w:r w:rsidR="00DA4F74" w:rsidRPr="00690774">
        <w:rPr>
          <w:rFonts w:ascii="Arial Narrow" w:hAnsi="Arial Narrow" w:cs="Arial"/>
          <w:i/>
          <w:sz w:val="24"/>
          <w:szCs w:val="24"/>
        </w:rPr>
        <w:t>Por el cual se dictan normas orientadas a regular la disposición final de residuos sólidos en el territorio nacional</w:t>
      </w:r>
      <w:r w:rsidR="00DA4F74" w:rsidRPr="002737BA">
        <w:rPr>
          <w:rFonts w:ascii="Arial Narrow" w:hAnsi="Arial Narrow" w:cs="Arial"/>
          <w:b/>
          <w:i/>
          <w:sz w:val="24"/>
          <w:szCs w:val="24"/>
        </w:rPr>
        <w:t>”</w:t>
      </w:r>
      <w:r w:rsidR="00547754">
        <w:rPr>
          <w:rFonts w:ascii="Arial Narrow" w:hAnsi="Arial Narrow"/>
          <w:sz w:val="24"/>
          <w:szCs w:val="24"/>
        </w:rPr>
        <w:t xml:space="preserve">. </w:t>
      </w:r>
      <w:r w:rsidRPr="0092733F">
        <w:rPr>
          <w:rFonts w:ascii="Arial Narrow" w:hAnsi="Arial Narrow"/>
          <w:sz w:val="24"/>
          <w:szCs w:val="24"/>
        </w:rPr>
        <w:t xml:space="preserve"> </w:t>
      </w:r>
    </w:p>
    <w:p w:rsidR="00DA4F74" w:rsidRDefault="00DA4F74" w:rsidP="00117551">
      <w:pPr>
        <w:spacing w:after="0"/>
        <w:jc w:val="both"/>
        <w:rPr>
          <w:rFonts w:ascii="Arial Narrow" w:hAnsi="Arial Narrow"/>
          <w:sz w:val="24"/>
          <w:szCs w:val="24"/>
        </w:rPr>
      </w:pPr>
    </w:p>
    <w:p w:rsidR="00DA4F74" w:rsidRDefault="00DA4F74" w:rsidP="00DA4F74">
      <w:pPr>
        <w:spacing w:after="0"/>
        <w:jc w:val="both"/>
        <w:rPr>
          <w:rFonts w:ascii="Arial Narrow" w:hAnsi="Arial Narrow" w:cs="Arial"/>
          <w:sz w:val="24"/>
          <w:szCs w:val="24"/>
        </w:rPr>
      </w:pPr>
      <w:r>
        <w:rPr>
          <w:rFonts w:ascii="Arial Narrow" w:hAnsi="Arial Narrow"/>
          <w:sz w:val="24"/>
          <w:szCs w:val="24"/>
        </w:rPr>
        <w:t>En dicha oportunidad fue asignado como ponente el H.R. Félix Alejandro Chica, quien en la ponencia para</w:t>
      </w:r>
      <w:r w:rsidR="008755A1">
        <w:rPr>
          <w:rFonts w:ascii="Arial Narrow" w:hAnsi="Arial Narrow"/>
          <w:sz w:val="24"/>
          <w:szCs w:val="24"/>
        </w:rPr>
        <w:t xml:space="preserve"> primer debate publicada en la G</w:t>
      </w:r>
      <w:r>
        <w:rPr>
          <w:rFonts w:ascii="Arial Narrow" w:hAnsi="Arial Narrow"/>
          <w:sz w:val="24"/>
          <w:szCs w:val="24"/>
        </w:rPr>
        <w:t xml:space="preserve">aceta 447 de 2019, propuso el archivo de la iniciativa dado que la misma </w:t>
      </w:r>
      <w:r w:rsidR="009A6C0B">
        <w:rPr>
          <w:rFonts w:ascii="Arial Narrow" w:hAnsi="Arial Narrow"/>
          <w:sz w:val="24"/>
          <w:szCs w:val="24"/>
        </w:rPr>
        <w:t>no estaba en concordancia con los lineamientos dispuestos por el Gobierno nacional</w:t>
      </w:r>
      <w:r w:rsidR="008755A1">
        <w:rPr>
          <w:rFonts w:ascii="Arial Narrow" w:hAnsi="Arial Narrow"/>
          <w:sz w:val="24"/>
          <w:szCs w:val="24"/>
        </w:rPr>
        <w:t xml:space="preserve"> puesto que en el Plan Nacional de Desarrollo </w:t>
      </w:r>
      <w:r w:rsidR="008755A1" w:rsidRPr="00E44251">
        <w:rPr>
          <w:rFonts w:ascii="Arial Narrow" w:hAnsi="Arial Narrow"/>
          <w:i/>
          <w:sz w:val="24"/>
          <w:szCs w:val="24"/>
        </w:rPr>
        <w:t>“Pacto Por Colombia, Pacto por la Equidad”</w:t>
      </w:r>
      <w:r w:rsidR="008755A1">
        <w:rPr>
          <w:rFonts w:ascii="Arial Narrow" w:hAnsi="Arial Narrow"/>
          <w:sz w:val="24"/>
          <w:szCs w:val="24"/>
        </w:rPr>
        <w:t xml:space="preserve"> se aprobó el fomento de la llamada economía circular, y en la iniciativa en comento se </w:t>
      </w:r>
      <w:r w:rsidR="006872FF">
        <w:rPr>
          <w:rFonts w:ascii="Arial Narrow" w:hAnsi="Arial Narrow"/>
          <w:sz w:val="24"/>
          <w:szCs w:val="24"/>
        </w:rPr>
        <w:t xml:space="preserve">daba continuidad </w:t>
      </w:r>
      <w:r w:rsidR="00E44251">
        <w:rPr>
          <w:rFonts w:ascii="Arial Narrow" w:hAnsi="Arial Narrow"/>
          <w:sz w:val="24"/>
          <w:szCs w:val="24"/>
        </w:rPr>
        <w:t xml:space="preserve">a </w:t>
      </w:r>
      <w:r w:rsidR="008755A1">
        <w:rPr>
          <w:rFonts w:ascii="Arial Narrow" w:hAnsi="Arial Narrow"/>
          <w:sz w:val="24"/>
          <w:szCs w:val="24"/>
        </w:rPr>
        <w:t xml:space="preserve">la </w:t>
      </w:r>
      <w:r>
        <w:rPr>
          <w:rFonts w:ascii="Arial Narrow" w:hAnsi="Arial Narrow" w:cs="Arial"/>
          <w:sz w:val="24"/>
          <w:szCs w:val="24"/>
        </w:rPr>
        <w:t>economía lineal</w:t>
      </w:r>
      <w:r w:rsidR="008755A1">
        <w:rPr>
          <w:rFonts w:ascii="Arial Narrow" w:hAnsi="Arial Narrow" w:cs="Arial"/>
          <w:sz w:val="24"/>
          <w:szCs w:val="24"/>
        </w:rPr>
        <w:t>.</w:t>
      </w:r>
      <w:r>
        <w:rPr>
          <w:rFonts w:ascii="Arial Narrow" w:hAnsi="Arial Narrow" w:cs="Arial"/>
          <w:sz w:val="24"/>
          <w:szCs w:val="24"/>
        </w:rPr>
        <w:t xml:space="preserve"> </w:t>
      </w:r>
    </w:p>
    <w:p w:rsidR="0062574A" w:rsidRDefault="0062574A" w:rsidP="00DA4F74">
      <w:pPr>
        <w:spacing w:after="0"/>
        <w:jc w:val="both"/>
        <w:rPr>
          <w:rFonts w:ascii="Arial Narrow" w:hAnsi="Arial Narrow" w:cs="Arial"/>
          <w:sz w:val="24"/>
          <w:szCs w:val="24"/>
        </w:rPr>
      </w:pPr>
    </w:p>
    <w:p w:rsidR="002E6143" w:rsidRDefault="00DA4F74" w:rsidP="00DA4F74">
      <w:pPr>
        <w:spacing w:after="0"/>
        <w:jc w:val="both"/>
        <w:rPr>
          <w:rFonts w:ascii="Arial Narrow" w:hAnsi="Arial Narrow" w:cs="Arial"/>
          <w:sz w:val="24"/>
          <w:szCs w:val="24"/>
        </w:rPr>
      </w:pPr>
      <w:r>
        <w:rPr>
          <w:rFonts w:ascii="Arial Narrow" w:hAnsi="Arial Narrow" w:cs="Arial"/>
          <w:sz w:val="24"/>
          <w:szCs w:val="24"/>
        </w:rPr>
        <w:t xml:space="preserve">De igual manera, el Ponente </w:t>
      </w:r>
      <w:r w:rsidR="0062574A">
        <w:rPr>
          <w:rFonts w:ascii="Arial Narrow" w:hAnsi="Arial Narrow" w:cs="Arial"/>
          <w:sz w:val="24"/>
          <w:szCs w:val="24"/>
        </w:rPr>
        <w:t xml:space="preserve">del Proyecto de Ley 263 de 2018 mencionado, </w:t>
      </w:r>
      <w:r>
        <w:rPr>
          <w:rFonts w:ascii="Arial Narrow" w:hAnsi="Arial Narrow" w:cs="Arial"/>
          <w:sz w:val="24"/>
          <w:szCs w:val="24"/>
        </w:rPr>
        <w:t>afirmó que la iniciativa carecía</w:t>
      </w:r>
      <w:r w:rsidR="008755A1">
        <w:rPr>
          <w:rFonts w:ascii="Arial Narrow" w:hAnsi="Arial Narrow" w:cs="Arial"/>
          <w:sz w:val="24"/>
          <w:szCs w:val="24"/>
        </w:rPr>
        <w:t xml:space="preserve"> de instrumentos que permitieran la efectiva</w:t>
      </w:r>
      <w:r w:rsidRPr="005B2D6B">
        <w:rPr>
          <w:rFonts w:ascii="Arial Narrow" w:hAnsi="Arial Narrow" w:cs="Arial"/>
          <w:sz w:val="24"/>
          <w:szCs w:val="24"/>
        </w:rPr>
        <w:t xml:space="preserve"> aplicación de la norma</w:t>
      </w:r>
      <w:r w:rsidR="008755A1">
        <w:rPr>
          <w:rFonts w:ascii="Arial Narrow" w:hAnsi="Arial Narrow" w:cs="Arial"/>
          <w:sz w:val="24"/>
          <w:szCs w:val="24"/>
        </w:rPr>
        <w:t xml:space="preserve"> y en consecuencia resultaría difícil la concusión de</w:t>
      </w:r>
      <w:r w:rsidRPr="005B2D6B">
        <w:rPr>
          <w:rFonts w:ascii="Arial Narrow" w:hAnsi="Arial Narrow" w:cs="Arial"/>
          <w:sz w:val="24"/>
          <w:szCs w:val="24"/>
        </w:rPr>
        <w:t xml:space="preserve"> los objetivos </w:t>
      </w:r>
      <w:r w:rsidR="008755A1">
        <w:rPr>
          <w:rFonts w:ascii="Arial Narrow" w:hAnsi="Arial Narrow" w:cs="Arial"/>
          <w:sz w:val="24"/>
          <w:szCs w:val="24"/>
        </w:rPr>
        <w:t xml:space="preserve">de </w:t>
      </w:r>
      <w:r>
        <w:rPr>
          <w:rFonts w:ascii="Arial Narrow" w:hAnsi="Arial Narrow" w:cs="Arial"/>
          <w:sz w:val="24"/>
          <w:szCs w:val="24"/>
        </w:rPr>
        <w:t>reducción de residuos sólidos. Así mismo argumentó que, a</w:t>
      </w:r>
      <w:r w:rsidRPr="005B2D6B">
        <w:rPr>
          <w:rFonts w:ascii="Arial Narrow" w:hAnsi="Arial Narrow" w:cs="Arial"/>
          <w:sz w:val="24"/>
          <w:szCs w:val="24"/>
        </w:rPr>
        <w:t xml:space="preserve">unque el objetivo del proyecto es loable, </w:t>
      </w:r>
      <w:r>
        <w:rPr>
          <w:rFonts w:ascii="Arial Narrow" w:hAnsi="Arial Narrow" w:cs="Arial"/>
          <w:sz w:val="24"/>
          <w:szCs w:val="24"/>
        </w:rPr>
        <w:t>la iniciativa no logró desarrollar su finalidad</w:t>
      </w:r>
      <w:r w:rsidRPr="005B2D6B">
        <w:rPr>
          <w:rFonts w:ascii="Arial Narrow" w:hAnsi="Arial Narrow" w:cs="Arial"/>
          <w:sz w:val="24"/>
          <w:szCs w:val="24"/>
        </w:rPr>
        <w:t xml:space="preserve"> </w:t>
      </w:r>
      <w:r>
        <w:rPr>
          <w:rFonts w:ascii="Arial Narrow" w:hAnsi="Arial Narrow" w:cs="Arial"/>
          <w:sz w:val="24"/>
          <w:szCs w:val="24"/>
        </w:rPr>
        <w:t>de manera</w:t>
      </w:r>
      <w:r w:rsidRPr="005B2D6B">
        <w:rPr>
          <w:rFonts w:ascii="Arial Narrow" w:hAnsi="Arial Narrow" w:cs="Arial"/>
          <w:sz w:val="24"/>
          <w:szCs w:val="24"/>
        </w:rPr>
        <w:t xml:space="preserve"> efectiva, </w:t>
      </w:r>
      <w:r>
        <w:rPr>
          <w:rFonts w:ascii="Arial Narrow" w:hAnsi="Arial Narrow" w:cs="Arial"/>
          <w:sz w:val="24"/>
          <w:szCs w:val="24"/>
        </w:rPr>
        <w:t>ni tampoco</w:t>
      </w:r>
      <w:r w:rsidRPr="005B2D6B">
        <w:rPr>
          <w:rFonts w:ascii="Arial Narrow" w:hAnsi="Arial Narrow" w:cs="Arial"/>
          <w:sz w:val="24"/>
          <w:szCs w:val="24"/>
        </w:rPr>
        <w:t xml:space="preserve"> </w:t>
      </w:r>
      <w:r>
        <w:rPr>
          <w:rFonts w:ascii="Arial Narrow" w:hAnsi="Arial Narrow" w:cs="Arial"/>
          <w:sz w:val="24"/>
          <w:szCs w:val="24"/>
        </w:rPr>
        <w:t>especificó los contenidos mínimos como la definición de las</w:t>
      </w:r>
      <w:r w:rsidRPr="005B2D6B">
        <w:rPr>
          <w:rFonts w:ascii="Arial Narrow" w:hAnsi="Arial Narrow" w:cs="Arial"/>
          <w:sz w:val="24"/>
          <w:szCs w:val="24"/>
        </w:rPr>
        <w:t xml:space="preserve"> nuevas tecnologías</w:t>
      </w:r>
      <w:r>
        <w:rPr>
          <w:rFonts w:ascii="Arial Narrow" w:hAnsi="Arial Narrow" w:cs="Arial"/>
          <w:sz w:val="24"/>
          <w:szCs w:val="24"/>
        </w:rPr>
        <w:t xml:space="preserve"> a implementar, entre otras cuestiones. Por último, el Ponente puso de presente que algunas de las disposiciones propuestas en la iniciativa, fueron tomadas idénticamente de la Ordenanza 2903 del 08 de agosto de 1988 de la municipalidad de Mendoza – República de Argentina</w:t>
      </w:r>
      <w:r w:rsidR="008755A1">
        <w:rPr>
          <w:rFonts w:ascii="Arial Narrow" w:hAnsi="Arial Narrow" w:cs="Arial"/>
          <w:sz w:val="24"/>
          <w:szCs w:val="24"/>
        </w:rPr>
        <w:t>, ya se encontraban en otras normativas colombianas, y de igual forma, algunos artículos desbordaban el objeto de la iniciativa</w:t>
      </w:r>
      <w:r>
        <w:rPr>
          <w:rFonts w:ascii="Arial Narrow" w:hAnsi="Arial Narrow" w:cs="Arial"/>
          <w:sz w:val="24"/>
          <w:szCs w:val="24"/>
        </w:rPr>
        <w:t>.</w:t>
      </w:r>
    </w:p>
    <w:p w:rsidR="0062574A" w:rsidRDefault="0062574A" w:rsidP="00DA4F74">
      <w:pPr>
        <w:spacing w:after="0"/>
        <w:jc w:val="both"/>
        <w:rPr>
          <w:rFonts w:ascii="Arial Narrow" w:hAnsi="Arial Narrow" w:cs="Arial"/>
          <w:sz w:val="24"/>
          <w:szCs w:val="24"/>
        </w:rPr>
      </w:pPr>
    </w:p>
    <w:p w:rsidR="0062574A" w:rsidRDefault="0062574A" w:rsidP="00DA4F74">
      <w:pPr>
        <w:spacing w:after="0"/>
        <w:jc w:val="both"/>
        <w:rPr>
          <w:rFonts w:ascii="Arial Narrow" w:hAnsi="Arial Narrow" w:cs="Arial"/>
          <w:sz w:val="24"/>
          <w:szCs w:val="24"/>
        </w:rPr>
      </w:pPr>
      <w:r>
        <w:rPr>
          <w:rFonts w:ascii="Arial Narrow" w:hAnsi="Arial Narrow" w:cs="Arial"/>
          <w:sz w:val="24"/>
          <w:szCs w:val="24"/>
        </w:rPr>
        <w:t xml:space="preserve">Por tales argumentos la iniciativa en comento fue archivada por unanimidad por la Honorable Comisión Quinta Constitucional Permanente de la Cámara de Representantes el 19 de junio de 2019. </w:t>
      </w:r>
    </w:p>
    <w:p w:rsidR="006872FF" w:rsidRDefault="006872FF" w:rsidP="00DA4F74">
      <w:pPr>
        <w:spacing w:after="0"/>
        <w:jc w:val="both"/>
        <w:rPr>
          <w:rFonts w:ascii="Arial Narrow" w:hAnsi="Arial Narrow" w:cs="Arial"/>
          <w:sz w:val="24"/>
          <w:szCs w:val="24"/>
        </w:rPr>
      </w:pPr>
    </w:p>
    <w:p w:rsidR="006872FF" w:rsidRDefault="006872FF" w:rsidP="00DA4F74">
      <w:pPr>
        <w:spacing w:after="0"/>
        <w:jc w:val="both"/>
        <w:rPr>
          <w:rFonts w:ascii="Arial Narrow" w:hAnsi="Arial Narrow" w:cs="Arial"/>
          <w:sz w:val="24"/>
          <w:szCs w:val="24"/>
        </w:rPr>
      </w:pPr>
    </w:p>
    <w:p w:rsidR="006872FF" w:rsidRDefault="006872FF" w:rsidP="00DA4F74">
      <w:pPr>
        <w:spacing w:after="0"/>
        <w:jc w:val="both"/>
        <w:rPr>
          <w:rFonts w:ascii="Arial Narrow" w:hAnsi="Arial Narrow" w:cs="Arial"/>
          <w:sz w:val="24"/>
          <w:szCs w:val="24"/>
        </w:rPr>
      </w:pPr>
    </w:p>
    <w:p w:rsidR="006872FF" w:rsidRPr="0092733F" w:rsidRDefault="006872FF" w:rsidP="00DA4F74">
      <w:pPr>
        <w:spacing w:after="0"/>
        <w:jc w:val="both"/>
        <w:rPr>
          <w:rFonts w:ascii="Arial Narrow" w:hAnsi="Arial Narrow"/>
          <w:sz w:val="24"/>
          <w:szCs w:val="24"/>
        </w:rPr>
      </w:pPr>
    </w:p>
    <w:p w:rsidR="0092733F" w:rsidRPr="0092733F" w:rsidRDefault="0092733F" w:rsidP="00117551">
      <w:pPr>
        <w:spacing w:after="0"/>
        <w:ind w:hanging="11"/>
        <w:jc w:val="both"/>
        <w:rPr>
          <w:rFonts w:ascii="Arial Narrow" w:hAnsi="Arial Narrow"/>
          <w:sz w:val="24"/>
          <w:szCs w:val="24"/>
        </w:rPr>
      </w:pPr>
      <w:r w:rsidRPr="0092733F">
        <w:rPr>
          <w:rFonts w:ascii="Arial Narrow" w:hAnsi="Arial Narrow"/>
          <w:sz w:val="24"/>
          <w:szCs w:val="24"/>
        </w:rPr>
        <w:t xml:space="preserve">.  </w:t>
      </w:r>
    </w:p>
    <w:p w:rsidR="0092733F" w:rsidRPr="0092733F" w:rsidRDefault="00C77194" w:rsidP="00117551">
      <w:pPr>
        <w:numPr>
          <w:ilvl w:val="0"/>
          <w:numId w:val="9"/>
        </w:numPr>
        <w:pBdr>
          <w:top w:val="nil"/>
          <w:left w:val="nil"/>
          <w:bottom w:val="nil"/>
          <w:right w:val="nil"/>
          <w:between w:val="nil"/>
        </w:pBdr>
        <w:spacing w:after="0"/>
        <w:contextualSpacing/>
        <w:jc w:val="center"/>
        <w:rPr>
          <w:rFonts w:ascii="Arial Narrow" w:hAnsi="Arial Narrow"/>
          <w:b/>
          <w:sz w:val="24"/>
          <w:szCs w:val="24"/>
        </w:rPr>
      </w:pPr>
      <w:r>
        <w:rPr>
          <w:rFonts w:ascii="Arial Narrow" w:hAnsi="Arial Narrow"/>
          <w:b/>
          <w:sz w:val="24"/>
          <w:szCs w:val="24"/>
        </w:rPr>
        <w:lastRenderedPageBreak/>
        <w:t xml:space="preserve">DEL </w:t>
      </w:r>
      <w:r w:rsidRPr="0092733F">
        <w:rPr>
          <w:rFonts w:ascii="Arial Narrow" w:hAnsi="Arial Narrow"/>
          <w:b/>
          <w:sz w:val="24"/>
          <w:szCs w:val="24"/>
        </w:rPr>
        <w:t xml:space="preserve">TRÁMITE </w:t>
      </w:r>
      <w:r w:rsidR="0092733F" w:rsidRPr="0092733F">
        <w:rPr>
          <w:rFonts w:ascii="Arial Narrow" w:hAnsi="Arial Narrow"/>
          <w:b/>
          <w:sz w:val="24"/>
          <w:szCs w:val="24"/>
        </w:rPr>
        <w:t>LEGISLATIVO</w:t>
      </w:r>
      <w:r w:rsidR="00DA4F74">
        <w:rPr>
          <w:rFonts w:ascii="Arial Narrow" w:hAnsi="Arial Narrow"/>
          <w:b/>
          <w:sz w:val="24"/>
          <w:szCs w:val="24"/>
        </w:rPr>
        <w:t>.</w:t>
      </w:r>
    </w:p>
    <w:p w:rsidR="0092733F" w:rsidRPr="0092733F" w:rsidRDefault="0092733F" w:rsidP="00117551">
      <w:pPr>
        <w:spacing w:after="0"/>
        <w:ind w:left="720"/>
        <w:contextualSpacing/>
        <w:rPr>
          <w:rFonts w:ascii="Arial Narrow" w:hAnsi="Arial Narrow"/>
          <w:b/>
          <w:sz w:val="24"/>
          <w:szCs w:val="24"/>
        </w:rPr>
      </w:pPr>
    </w:p>
    <w:p w:rsidR="00C77194" w:rsidRDefault="00CA78FC" w:rsidP="00C77194">
      <w:pPr>
        <w:spacing w:after="0"/>
        <w:contextualSpacing/>
        <w:jc w:val="both"/>
        <w:rPr>
          <w:rFonts w:ascii="Arial Narrow" w:hAnsi="Arial Narrow"/>
          <w:sz w:val="24"/>
          <w:szCs w:val="24"/>
        </w:rPr>
      </w:pPr>
      <w:r>
        <w:rPr>
          <w:rFonts w:ascii="Arial Narrow" w:hAnsi="Arial Narrow"/>
          <w:sz w:val="24"/>
          <w:szCs w:val="24"/>
        </w:rPr>
        <w:t>La Comisión Quinta Constitucional Permanente es la encargada de estudiar en primer debate los proyectos relacionados con el r</w:t>
      </w:r>
      <w:r w:rsidRPr="00CA78FC">
        <w:rPr>
          <w:rFonts w:ascii="Arial Narrow" w:hAnsi="Arial Narrow"/>
          <w:sz w:val="24"/>
          <w:szCs w:val="24"/>
        </w:rPr>
        <w:t>égimen agropecuario; ecología; medio ambiente y recursos naturales; adjudicación y recuperación de tierras; recursos ictiológicos y asuntos del mar; minas y energía; corporaciones autónomas regionales</w:t>
      </w:r>
      <w:r w:rsidR="00C77194">
        <w:rPr>
          <w:rFonts w:ascii="Arial Narrow" w:hAnsi="Arial Narrow"/>
          <w:sz w:val="24"/>
          <w:szCs w:val="24"/>
        </w:rPr>
        <w:t>; razón por la cual la iniciativa puesta</w:t>
      </w:r>
      <w:r w:rsidR="0092733F" w:rsidRPr="0092733F">
        <w:rPr>
          <w:rFonts w:ascii="Arial Narrow" w:hAnsi="Arial Narrow"/>
          <w:sz w:val="24"/>
          <w:szCs w:val="24"/>
        </w:rPr>
        <w:t xml:space="preserve"> a consideración </w:t>
      </w:r>
      <w:r w:rsidR="0062574A">
        <w:rPr>
          <w:rFonts w:ascii="Arial Narrow" w:hAnsi="Arial Narrow"/>
          <w:sz w:val="24"/>
          <w:szCs w:val="24"/>
        </w:rPr>
        <w:t>es de competencia de esta c</w:t>
      </w:r>
      <w:r>
        <w:rPr>
          <w:rFonts w:ascii="Arial Narrow" w:hAnsi="Arial Narrow"/>
          <w:sz w:val="24"/>
          <w:szCs w:val="24"/>
        </w:rPr>
        <w:t>élula legislativa</w:t>
      </w:r>
      <w:r w:rsidR="00C77194">
        <w:rPr>
          <w:rFonts w:ascii="Arial Narrow" w:hAnsi="Arial Narrow"/>
          <w:sz w:val="24"/>
          <w:szCs w:val="24"/>
        </w:rPr>
        <w:t>.</w:t>
      </w:r>
    </w:p>
    <w:p w:rsidR="008E53DA" w:rsidRDefault="008E53DA" w:rsidP="00C77194">
      <w:pPr>
        <w:spacing w:after="0"/>
        <w:contextualSpacing/>
        <w:jc w:val="both"/>
        <w:rPr>
          <w:rFonts w:ascii="Arial Narrow" w:hAnsi="Arial Narrow"/>
          <w:sz w:val="24"/>
          <w:szCs w:val="24"/>
        </w:rPr>
      </w:pPr>
    </w:p>
    <w:p w:rsidR="008E53DA" w:rsidRDefault="008E53DA" w:rsidP="00C77194">
      <w:pPr>
        <w:spacing w:after="0"/>
        <w:contextualSpacing/>
        <w:jc w:val="both"/>
        <w:rPr>
          <w:rFonts w:ascii="Arial Narrow" w:hAnsi="Arial Narrow"/>
          <w:sz w:val="24"/>
          <w:szCs w:val="24"/>
        </w:rPr>
      </w:pPr>
      <w:r>
        <w:rPr>
          <w:rFonts w:ascii="Arial Narrow" w:hAnsi="Arial Narrow"/>
          <w:sz w:val="24"/>
          <w:szCs w:val="24"/>
        </w:rPr>
        <w:t xml:space="preserve">Adicionalmente no se encuentran en la iniciativa contenidos de carácter estatutario o carácter </w:t>
      </w:r>
      <w:r w:rsidR="00C46032">
        <w:rPr>
          <w:rFonts w:ascii="Arial Narrow" w:hAnsi="Arial Narrow"/>
          <w:sz w:val="24"/>
          <w:szCs w:val="24"/>
        </w:rPr>
        <w:t>orgánico</w:t>
      </w:r>
      <w:r>
        <w:rPr>
          <w:rFonts w:ascii="Arial Narrow" w:hAnsi="Arial Narrow"/>
          <w:sz w:val="24"/>
          <w:szCs w:val="24"/>
        </w:rPr>
        <w:t xml:space="preserve"> que ameriten darle un tratamiento diferente al del </w:t>
      </w:r>
      <w:r w:rsidR="00C46032">
        <w:rPr>
          <w:rFonts w:ascii="Arial Narrow" w:hAnsi="Arial Narrow"/>
          <w:sz w:val="24"/>
          <w:szCs w:val="24"/>
        </w:rPr>
        <w:t>trámite</w:t>
      </w:r>
      <w:r>
        <w:rPr>
          <w:rFonts w:ascii="Arial Narrow" w:hAnsi="Arial Narrow"/>
          <w:sz w:val="24"/>
          <w:szCs w:val="24"/>
        </w:rPr>
        <w:t xml:space="preserve"> legislativo </w:t>
      </w:r>
      <w:r w:rsidR="00C46032">
        <w:rPr>
          <w:rFonts w:ascii="Arial Narrow" w:hAnsi="Arial Narrow"/>
          <w:sz w:val="24"/>
          <w:szCs w:val="24"/>
        </w:rPr>
        <w:t>ordinario</w:t>
      </w:r>
      <w:r>
        <w:rPr>
          <w:rFonts w:ascii="Arial Narrow" w:hAnsi="Arial Narrow"/>
          <w:sz w:val="24"/>
          <w:szCs w:val="24"/>
        </w:rPr>
        <w:t xml:space="preserve"> contemplado en la Ley 5ª de 1992. </w:t>
      </w:r>
    </w:p>
    <w:p w:rsidR="00C77194" w:rsidRDefault="00C77194" w:rsidP="00C77194">
      <w:pPr>
        <w:spacing w:after="0"/>
        <w:contextualSpacing/>
        <w:jc w:val="both"/>
        <w:rPr>
          <w:rFonts w:ascii="Arial Narrow" w:hAnsi="Arial Narrow"/>
          <w:sz w:val="24"/>
          <w:szCs w:val="24"/>
        </w:rPr>
      </w:pPr>
    </w:p>
    <w:p w:rsidR="0092733F" w:rsidRPr="0092733F" w:rsidRDefault="0092733F" w:rsidP="00117551">
      <w:pPr>
        <w:numPr>
          <w:ilvl w:val="0"/>
          <w:numId w:val="9"/>
        </w:numPr>
        <w:pBdr>
          <w:top w:val="nil"/>
          <w:left w:val="nil"/>
          <w:bottom w:val="nil"/>
          <w:right w:val="nil"/>
          <w:between w:val="nil"/>
        </w:pBdr>
        <w:spacing w:after="0"/>
        <w:contextualSpacing/>
        <w:jc w:val="center"/>
        <w:rPr>
          <w:rFonts w:ascii="Arial Narrow" w:hAnsi="Arial Narrow"/>
          <w:b/>
          <w:sz w:val="24"/>
          <w:szCs w:val="24"/>
        </w:rPr>
      </w:pPr>
      <w:r w:rsidRPr="0092733F">
        <w:rPr>
          <w:rFonts w:ascii="Arial Narrow" w:hAnsi="Arial Narrow"/>
          <w:b/>
          <w:sz w:val="24"/>
          <w:szCs w:val="24"/>
        </w:rPr>
        <w:t>OBJETO DEL PROYECTO</w:t>
      </w:r>
    </w:p>
    <w:p w:rsidR="0092733F" w:rsidRPr="0092733F" w:rsidRDefault="0092733F" w:rsidP="00117551">
      <w:pPr>
        <w:spacing w:after="0"/>
        <w:ind w:left="720"/>
        <w:contextualSpacing/>
        <w:rPr>
          <w:rFonts w:ascii="Arial Narrow" w:hAnsi="Arial Narrow"/>
          <w:b/>
          <w:sz w:val="24"/>
          <w:szCs w:val="24"/>
        </w:rPr>
      </w:pPr>
    </w:p>
    <w:p w:rsidR="0092733F" w:rsidRDefault="0062574A" w:rsidP="00117551">
      <w:pPr>
        <w:spacing w:after="0"/>
        <w:contextualSpacing/>
        <w:jc w:val="both"/>
        <w:rPr>
          <w:rFonts w:ascii="Arial Narrow" w:hAnsi="Arial Narrow"/>
          <w:sz w:val="24"/>
          <w:szCs w:val="24"/>
        </w:rPr>
      </w:pPr>
      <w:r>
        <w:rPr>
          <w:rFonts w:ascii="Arial Narrow" w:hAnsi="Arial Narrow"/>
          <w:sz w:val="24"/>
          <w:szCs w:val="24"/>
        </w:rPr>
        <w:t>La iniciativa tiene por objeto regular la incorporación de nuevas tecnologías en los sitios de disposición final, con la finalidad de dar un tratamiento técnico a los residuos sólidos procurando el máximo aprovechamiento posible</w:t>
      </w:r>
      <w:r w:rsidR="00AA7DE5">
        <w:rPr>
          <w:rFonts w:ascii="Arial Narrow" w:hAnsi="Arial Narrow"/>
          <w:sz w:val="24"/>
          <w:szCs w:val="24"/>
        </w:rPr>
        <w:t xml:space="preserve">. </w:t>
      </w:r>
    </w:p>
    <w:p w:rsidR="00C46032" w:rsidRDefault="00C46032" w:rsidP="00117551">
      <w:pPr>
        <w:spacing w:after="0"/>
        <w:contextualSpacing/>
        <w:jc w:val="both"/>
        <w:rPr>
          <w:rFonts w:ascii="Arial Narrow" w:hAnsi="Arial Narrow"/>
          <w:sz w:val="24"/>
          <w:szCs w:val="24"/>
        </w:rPr>
      </w:pPr>
    </w:p>
    <w:p w:rsidR="00C46032" w:rsidRDefault="00C46032" w:rsidP="00117551">
      <w:pPr>
        <w:spacing w:after="0"/>
        <w:contextualSpacing/>
        <w:jc w:val="both"/>
        <w:rPr>
          <w:rFonts w:ascii="Arial Narrow" w:hAnsi="Arial Narrow"/>
          <w:sz w:val="24"/>
          <w:szCs w:val="24"/>
        </w:rPr>
      </w:pPr>
      <w:r>
        <w:rPr>
          <w:rFonts w:ascii="Arial Narrow" w:hAnsi="Arial Narrow"/>
          <w:sz w:val="24"/>
          <w:szCs w:val="24"/>
        </w:rPr>
        <w:t xml:space="preserve">Adicionalmente dispone lineamientos para el tratamiento de residuos sólidos urbanos que incluyen separación y concentración selectiva, transformación y recuperación mediante la reobtención de su forma original, entre otros, </w:t>
      </w:r>
      <w:r w:rsidR="00F32968">
        <w:rPr>
          <w:rFonts w:ascii="Arial Narrow" w:hAnsi="Arial Narrow"/>
          <w:sz w:val="24"/>
          <w:szCs w:val="24"/>
        </w:rPr>
        <w:t>debiéndose disponer en los rellenos sanitarios aquellos residuos que no puedan ser tratados por las tecnologías disponibles.</w:t>
      </w:r>
    </w:p>
    <w:p w:rsidR="00F32968" w:rsidRDefault="00F32968" w:rsidP="00117551">
      <w:pPr>
        <w:spacing w:after="0"/>
        <w:contextualSpacing/>
        <w:jc w:val="both"/>
        <w:rPr>
          <w:rFonts w:ascii="Arial Narrow" w:hAnsi="Arial Narrow"/>
          <w:sz w:val="24"/>
          <w:szCs w:val="24"/>
        </w:rPr>
      </w:pPr>
    </w:p>
    <w:p w:rsidR="00AA7DE5" w:rsidRDefault="00F32968" w:rsidP="00117551">
      <w:pPr>
        <w:spacing w:after="0"/>
        <w:contextualSpacing/>
        <w:jc w:val="both"/>
        <w:rPr>
          <w:rFonts w:ascii="Arial Narrow" w:hAnsi="Arial Narrow"/>
          <w:sz w:val="24"/>
          <w:szCs w:val="24"/>
        </w:rPr>
      </w:pPr>
      <w:r>
        <w:rPr>
          <w:rFonts w:ascii="Arial Narrow" w:hAnsi="Arial Narrow"/>
          <w:sz w:val="24"/>
          <w:szCs w:val="24"/>
        </w:rPr>
        <w:t>La iniciativa dispone de varios preceptos para la población recicladora de oficio referente a la exclusividad en la recolección de material y el suministro de tecnologías y asistencia técnica por parte del Gobierno nacional, con la finalidad de que se integren a los esquemas de aseo y disposición final de residuos existentes; entre otras medidas relacionadas con el pago a las prestadoras y las tarifas de aseo.</w:t>
      </w:r>
    </w:p>
    <w:p w:rsidR="00F32968" w:rsidRPr="0092733F" w:rsidRDefault="00F32968" w:rsidP="00117551">
      <w:pPr>
        <w:spacing w:after="0"/>
        <w:contextualSpacing/>
        <w:jc w:val="both"/>
        <w:rPr>
          <w:rFonts w:ascii="Arial Narrow" w:hAnsi="Arial Narrow"/>
          <w:sz w:val="24"/>
          <w:szCs w:val="24"/>
        </w:rPr>
      </w:pPr>
    </w:p>
    <w:p w:rsidR="00C77194" w:rsidRDefault="0062574A" w:rsidP="00117551">
      <w:pPr>
        <w:pStyle w:val="Prrafodelista"/>
        <w:numPr>
          <w:ilvl w:val="0"/>
          <w:numId w:val="9"/>
        </w:numPr>
        <w:pBdr>
          <w:top w:val="nil"/>
          <w:left w:val="nil"/>
          <w:bottom w:val="nil"/>
          <w:right w:val="nil"/>
          <w:between w:val="nil"/>
        </w:pBdr>
        <w:spacing w:after="0"/>
        <w:jc w:val="center"/>
        <w:rPr>
          <w:rFonts w:ascii="Arial Narrow" w:hAnsi="Arial Narrow"/>
          <w:b/>
          <w:sz w:val="24"/>
          <w:szCs w:val="24"/>
        </w:rPr>
      </w:pPr>
      <w:r>
        <w:rPr>
          <w:rFonts w:ascii="Arial Narrow" w:hAnsi="Arial Narrow"/>
          <w:b/>
          <w:sz w:val="24"/>
          <w:szCs w:val="24"/>
        </w:rPr>
        <w:t xml:space="preserve">CONTENIDO DEL PROYECTO </w:t>
      </w:r>
    </w:p>
    <w:p w:rsidR="0062574A" w:rsidRDefault="0062574A" w:rsidP="0062574A">
      <w:pPr>
        <w:spacing w:after="0"/>
        <w:contextualSpacing/>
        <w:jc w:val="both"/>
        <w:rPr>
          <w:rFonts w:ascii="Arial Narrow" w:hAnsi="Arial Narrow"/>
          <w:sz w:val="24"/>
          <w:szCs w:val="24"/>
        </w:rPr>
      </w:pPr>
    </w:p>
    <w:p w:rsidR="0062574A" w:rsidRPr="0092733F" w:rsidRDefault="0062574A" w:rsidP="0062574A">
      <w:pPr>
        <w:spacing w:after="0"/>
        <w:contextualSpacing/>
        <w:jc w:val="both"/>
        <w:rPr>
          <w:rFonts w:ascii="Arial Narrow" w:hAnsi="Arial Narrow"/>
          <w:sz w:val="24"/>
          <w:szCs w:val="24"/>
        </w:rPr>
      </w:pPr>
      <w:r w:rsidRPr="0092733F">
        <w:rPr>
          <w:rFonts w:ascii="Arial Narrow" w:hAnsi="Arial Narrow"/>
          <w:sz w:val="24"/>
          <w:szCs w:val="24"/>
        </w:rPr>
        <w:t xml:space="preserve">El proyecto está </w:t>
      </w:r>
      <w:r>
        <w:rPr>
          <w:rFonts w:ascii="Arial Narrow" w:hAnsi="Arial Narrow"/>
          <w:sz w:val="24"/>
          <w:szCs w:val="24"/>
        </w:rPr>
        <w:t xml:space="preserve">conformado </w:t>
      </w:r>
      <w:r w:rsidRPr="0092733F">
        <w:rPr>
          <w:rFonts w:ascii="Arial Narrow" w:hAnsi="Arial Narrow"/>
          <w:sz w:val="24"/>
          <w:szCs w:val="24"/>
        </w:rPr>
        <w:t xml:space="preserve"> por </w:t>
      </w:r>
      <w:r>
        <w:rPr>
          <w:rFonts w:ascii="Arial Narrow" w:hAnsi="Arial Narrow"/>
          <w:sz w:val="24"/>
          <w:szCs w:val="24"/>
        </w:rPr>
        <w:t>9</w:t>
      </w:r>
      <w:r w:rsidRPr="0092733F">
        <w:rPr>
          <w:rFonts w:ascii="Arial Narrow" w:hAnsi="Arial Narrow"/>
          <w:sz w:val="24"/>
          <w:szCs w:val="24"/>
        </w:rPr>
        <w:t xml:space="preserve"> </w:t>
      </w:r>
      <w:r>
        <w:rPr>
          <w:rFonts w:ascii="Arial Narrow" w:hAnsi="Arial Narrow"/>
          <w:sz w:val="24"/>
          <w:szCs w:val="24"/>
        </w:rPr>
        <w:t>artículos, incluido la vigencia</w:t>
      </w:r>
      <w:r w:rsidRPr="0092733F">
        <w:rPr>
          <w:rFonts w:ascii="Arial Narrow" w:hAnsi="Arial Narrow"/>
          <w:sz w:val="24"/>
          <w:szCs w:val="24"/>
        </w:rPr>
        <w:t xml:space="preserve">, </w:t>
      </w:r>
      <w:r>
        <w:rPr>
          <w:rFonts w:ascii="Arial Narrow" w:hAnsi="Arial Narrow"/>
          <w:sz w:val="24"/>
          <w:szCs w:val="24"/>
        </w:rPr>
        <w:t xml:space="preserve">que contemplan las siguientes medidas: </w:t>
      </w:r>
    </w:p>
    <w:p w:rsidR="0062574A" w:rsidRPr="0092733F" w:rsidRDefault="0062574A" w:rsidP="0062574A">
      <w:pPr>
        <w:spacing w:after="0"/>
        <w:contextualSpacing/>
        <w:rPr>
          <w:rFonts w:ascii="Arial Narrow" w:hAnsi="Arial Narrow"/>
          <w:sz w:val="24"/>
          <w:szCs w:val="24"/>
        </w:rPr>
      </w:pPr>
    </w:p>
    <w:tbl>
      <w:tblPr>
        <w:tblStyle w:val="Tablaconcuadrcula"/>
        <w:tblW w:w="0" w:type="auto"/>
        <w:tblLook w:val="04A0" w:firstRow="1" w:lastRow="0" w:firstColumn="1" w:lastColumn="0" w:noHBand="0" w:noVBand="1"/>
      </w:tblPr>
      <w:tblGrid>
        <w:gridCol w:w="1643"/>
        <w:gridCol w:w="7185"/>
      </w:tblGrid>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1.</w:t>
            </w:r>
          </w:p>
        </w:tc>
        <w:tc>
          <w:tcPr>
            <w:tcW w:w="7185" w:type="dxa"/>
          </w:tcPr>
          <w:p w:rsidR="0062574A" w:rsidRPr="0092733F" w:rsidRDefault="00E44251" w:rsidP="00F0793A">
            <w:pPr>
              <w:spacing w:after="0"/>
              <w:contextualSpacing/>
              <w:jc w:val="both"/>
              <w:rPr>
                <w:rFonts w:ascii="Arial Narrow" w:hAnsi="Arial Narrow"/>
                <w:sz w:val="24"/>
                <w:szCs w:val="24"/>
              </w:rPr>
            </w:pPr>
            <w:r w:rsidRPr="00E44251">
              <w:rPr>
                <w:rFonts w:ascii="Arial Narrow" w:hAnsi="Arial Narrow"/>
                <w:sz w:val="24"/>
                <w:szCs w:val="24"/>
              </w:rPr>
              <w:t xml:space="preserve">La presente ley tiene por objeto regular la incorporación de nuevas tecnologías en los sitios de disposición final, con la finalidad de dar un tratamiento técnico a </w:t>
            </w:r>
            <w:r w:rsidRPr="00E44251">
              <w:rPr>
                <w:rFonts w:ascii="Arial Narrow" w:hAnsi="Arial Narrow"/>
                <w:sz w:val="24"/>
                <w:szCs w:val="24"/>
              </w:rPr>
              <w:lastRenderedPageBreak/>
              <w:t>los residuos sólidos procurando el máximo aprovechamiento posible y se regulan.</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lastRenderedPageBreak/>
              <w:t>Artículo 2.</w:t>
            </w:r>
          </w:p>
        </w:tc>
        <w:tc>
          <w:tcPr>
            <w:tcW w:w="7185" w:type="dxa"/>
          </w:tcPr>
          <w:p w:rsidR="00C939F8" w:rsidRPr="00C939F8" w:rsidRDefault="00C939F8" w:rsidP="00C939F8">
            <w:pPr>
              <w:spacing w:after="0"/>
              <w:jc w:val="both"/>
              <w:rPr>
                <w:rFonts w:ascii="Arial Narrow" w:hAnsi="Arial Narrow"/>
                <w:sz w:val="24"/>
                <w:szCs w:val="24"/>
              </w:rPr>
            </w:pPr>
            <w:r w:rsidRPr="00C939F8">
              <w:rPr>
                <w:rFonts w:ascii="Arial Narrow" w:hAnsi="Arial Narrow"/>
                <w:sz w:val="24"/>
                <w:szCs w:val="24"/>
              </w:rPr>
              <w:t xml:space="preserve">El tratamiento de los residuos sólidos urbanos debe comprender el aprovechamiento de los mismos, contemplando lo establecido en el decreto 596 de 2018, ya sea por: </w:t>
            </w:r>
          </w:p>
          <w:p w:rsidR="00C939F8" w:rsidRPr="00C939F8" w:rsidRDefault="00C939F8" w:rsidP="00C939F8">
            <w:pPr>
              <w:spacing w:after="0"/>
              <w:jc w:val="both"/>
              <w:rPr>
                <w:rFonts w:ascii="Arial Narrow" w:hAnsi="Arial Narrow"/>
                <w:sz w:val="24"/>
                <w:szCs w:val="24"/>
              </w:rPr>
            </w:pPr>
            <w:r w:rsidRPr="00C939F8">
              <w:rPr>
                <w:rFonts w:ascii="Arial Narrow" w:hAnsi="Arial Narrow"/>
                <w:sz w:val="24"/>
                <w:szCs w:val="24"/>
              </w:rPr>
              <w:t>a. Separación y concentración selectiva de los materiales incluidos en los residuos por cualquiera de los métodos o técnicas usuales.</w:t>
            </w:r>
          </w:p>
          <w:p w:rsidR="00C939F8" w:rsidRPr="00C939F8" w:rsidRDefault="00C939F8" w:rsidP="00C939F8">
            <w:pPr>
              <w:spacing w:after="0"/>
              <w:jc w:val="both"/>
              <w:rPr>
                <w:rFonts w:ascii="Arial Narrow" w:hAnsi="Arial Narrow"/>
                <w:sz w:val="24"/>
                <w:szCs w:val="24"/>
              </w:rPr>
            </w:pPr>
            <w:r w:rsidRPr="00C939F8">
              <w:rPr>
                <w:rFonts w:ascii="Arial Narrow" w:hAnsi="Arial Narrow"/>
                <w:sz w:val="24"/>
                <w:szCs w:val="24"/>
              </w:rPr>
              <w:t xml:space="preserve"> b. Transformación, consistente en la conversión por métodos químicos (hidrogenación, oxidación húmeda o hidrólisis, que contemple el mismo fin) o bioquímicos (compostaje, digestión anaerobia y degradación biológica) de determinados productos de los residuos en otros aprovechables. </w:t>
            </w:r>
          </w:p>
          <w:p w:rsidR="00C939F8" w:rsidRPr="00C939F8" w:rsidRDefault="00C939F8" w:rsidP="00C939F8">
            <w:pPr>
              <w:spacing w:after="0"/>
              <w:jc w:val="both"/>
              <w:rPr>
                <w:rFonts w:ascii="Arial Narrow" w:hAnsi="Arial Narrow"/>
                <w:sz w:val="24"/>
                <w:szCs w:val="24"/>
              </w:rPr>
            </w:pPr>
            <w:r w:rsidRPr="00C939F8">
              <w:rPr>
                <w:rFonts w:ascii="Arial Narrow" w:hAnsi="Arial Narrow"/>
                <w:sz w:val="24"/>
                <w:szCs w:val="24"/>
              </w:rPr>
              <w:t xml:space="preserve">c. Recuperación, mediante la reobtención, en su forma original, de materiales incluidos en los residuos para volverlos a utilizar. </w:t>
            </w:r>
          </w:p>
          <w:p w:rsidR="0062574A" w:rsidRPr="00B16AF1" w:rsidRDefault="00C939F8" w:rsidP="00C939F8">
            <w:pPr>
              <w:spacing w:after="0"/>
              <w:jc w:val="both"/>
              <w:rPr>
                <w:rFonts w:ascii="Arial Narrow" w:hAnsi="Arial Narrow"/>
                <w:sz w:val="24"/>
                <w:szCs w:val="24"/>
              </w:rPr>
            </w:pPr>
            <w:r w:rsidRPr="00C939F8">
              <w:rPr>
                <w:rFonts w:ascii="Arial Narrow" w:hAnsi="Arial Narrow"/>
                <w:sz w:val="24"/>
                <w:szCs w:val="24"/>
              </w:rPr>
              <w:t>Los literales anteriores no son taxativos, por lo tanto, no excluyen la aplicación de cualquier otra tecnología existente.</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3.</w:t>
            </w:r>
          </w:p>
        </w:tc>
        <w:tc>
          <w:tcPr>
            <w:tcW w:w="7185" w:type="dxa"/>
          </w:tcPr>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sz w:val="24"/>
                <w:szCs w:val="24"/>
              </w:rPr>
              <w:t xml:space="preserve">Los residuos sólidos urbanos que no puedan ser tratados por las tecnologías disponibles deben ser destinados a un sitio de disposición final que determine la autoridad competente, denominado relleno sanitario.  </w:t>
            </w:r>
          </w:p>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b/>
                <w:sz w:val="24"/>
                <w:szCs w:val="24"/>
              </w:rPr>
              <w:t>Parágrafo 1</w:t>
            </w:r>
            <w:r w:rsidRPr="00C939F8">
              <w:rPr>
                <w:rFonts w:ascii="Arial Narrow" w:hAnsi="Arial Narrow"/>
                <w:sz w:val="24"/>
                <w:szCs w:val="24"/>
              </w:rPr>
              <w:t xml:space="preserve"> En todos los sitios de disposición final del país la cantidad de residuos tratados por cualquier método debe ser superior a los dispuestos.</w:t>
            </w:r>
          </w:p>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b/>
                <w:sz w:val="24"/>
                <w:szCs w:val="24"/>
              </w:rPr>
              <w:t xml:space="preserve">Parágrafo 2 </w:t>
            </w:r>
            <w:r w:rsidRPr="00C939F8">
              <w:rPr>
                <w:rFonts w:ascii="Arial Narrow" w:hAnsi="Arial Narrow"/>
                <w:sz w:val="24"/>
                <w:szCs w:val="24"/>
              </w:rPr>
              <w:t xml:space="preserve">A partir de la vigencia de la presente ley el tratamiento previo a la disposición final debe aumentarse progresivamente de la siguiente manera; </w:t>
            </w:r>
          </w:p>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sz w:val="24"/>
                <w:szCs w:val="24"/>
              </w:rPr>
              <w:t>•</w:t>
            </w:r>
            <w:r w:rsidRPr="00C939F8">
              <w:rPr>
                <w:rFonts w:ascii="Arial Narrow" w:hAnsi="Arial Narrow"/>
                <w:sz w:val="24"/>
                <w:szCs w:val="24"/>
              </w:rPr>
              <w:tab/>
              <w:t>En el primer año un 25%.</w:t>
            </w:r>
          </w:p>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sz w:val="24"/>
                <w:szCs w:val="24"/>
              </w:rPr>
              <w:t>•</w:t>
            </w:r>
            <w:r w:rsidRPr="00C939F8">
              <w:rPr>
                <w:rFonts w:ascii="Arial Narrow" w:hAnsi="Arial Narrow"/>
                <w:sz w:val="24"/>
                <w:szCs w:val="24"/>
              </w:rPr>
              <w:tab/>
              <w:t>En el tercer año un 35%.</w:t>
            </w:r>
          </w:p>
          <w:p w:rsidR="0062574A" w:rsidRPr="0092733F" w:rsidRDefault="00C939F8" w:rsidP="00C939F8">
            <w:pPr>
              <w:spacing w:after="0"/>
              <w:contextualSpacing/>
              <w:jc w:val="both"/>
              <w:rPr>
                <w:rFonts w:ascii="Arial Narrow" w:hAnsi="Arial Narrow"/>
                <w:sz w:val="24"/>
                <w:szCs w:val="24"/>
              </w:rPr>
            </w:pPr>
            <w:r w:rsidRPr="00C939F8">
              <w:rPr>
                <w:rFonts w:ascii="Arial Narrow" w:hAnsi="Arial Narrow"/>
                <w:sz w:val="24"/>
                <w:szCs w:val="24"/>
              </w:rPr>
              <w:t>•</w:t>
            </w:r>
            <w:r w:rsidRPr="00C939F8">
              <w:rPr>
                <w:rFonts w:ascii="Arial Narrow" w:hAnsi="Arial Narrow"/>
                <w:sz w:val="24"/>
                <w:szCs w:val="24"/>
              </w:rPr>
              <w:tab/>
              <w:t>En el sexto año un 40%.</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4.</w:t>
            </w:r>
          </w:p>
        </w:tc>
        <w:tc>
          <w:tcPr>
            <w:tcW w:w="7185" w:type="dxa"/>
          </w:tcPr>
          <w:p w:rsidR="00C939F8" w:rsidRPr="00C939F8" w:rsidRDefault="00C939F8" w:rsidP="00C939F8">
            <w:pPr>
              <w:spacing w:after="0"/>
              <w:contextualSpacing/>
              <w:jc w:val="both"/>
              <w:rPr>
                <w:rFonts w:ascii="Arial Narrow" w:hAnsi="Arial Narrow"/>
                <w:sz w:val="24"/>
                <w:szCs w:val="24"/>
              </w:rPr>
            </w:pPr>
            <w:r w:rsidRPr="00C939F8">
              <w:rPr>
                <w:rFonts w:ascii="Arial Narrow" w:hAnsi="Arial Narrow"/>
                <w:sz w:val="24"/>
                <w:szCs w:val="24"/>
              </w:rPr>
              <w:t>Tendrán garantizada la exclusividad e inclusión en el proceso de recolección de los residuos sólidos secos y en las actividades de los centros de selección, la población recicladora de oficio, en los términos del decreto 596 de 2017.</w:t>
            </w:r>
          </w:p>
          <w:p w:rsidR="0062574A" w:rsidRPr="0092733F" w:rsidRDefault="00C939F8" w:rsidP="00C939F8">
            <w:pPr>
              <w:spacing w:after="0"/>
              <w:contextualSpacing/>
              <w:jc w:val="both"/>
              <w:rPr>
                <w:rFonts w:ascii="Arial Narrow" w:hAnsi="Arial Narrow"/>
                <w:sz w:val="24"/>
                <w:szCs w:val="24"/>
              </w:rPr>
            </w:pPr>
            <w:r w:rsidRPr="00C939F8">
              <w:rPr>
                <w:rFonts w:ascii="Arial Narrow" w:hAnsi="Arial Narrow"/>
                <w:sz w:val="24"/>
                <w:szCs w:val="24"/>
              </w:rPr>
              <w:t>El gobierno nacional reglamentara los mecanismos de armonización entre la normatividad existente para el acceso a la asistencia técnica y financiera de la población recicladora de oficio con la finalidad de que se integre a los esquemas de aseo y disposición final de residuos existentes.</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5.</w:t>
            </w:r>
          </w:p>
        </w:tc>
        <w:tc>
          <w:tcPr>
            <w:tcW w:w="7185" w:type="dxa"/>
          </w:tcPr>
          <w:p w:rsidR="0062574A" w:rsidRPr="0092733F" w:rsidRDefault="00C939F8" w:rsidP="00F0793A">
            <w:pPr>
              <w:spacing w:after="0"/>
              <w:contextualSpacing/>
              <w:jc w:val="both"/>
              <w:rPr>
                <w:rFonts w:ascii="Arial Narrow" w:hAnsi="Arial Narrow"/>
                <w:sz w:val="24"/>
                <w:szCs w:val="24"/>
              </w:rPr>
            </w:pPr>
            <w:r w:rsidRPr="00C939F8">
              <w:rPr>
                <w:rFonts w:ascii="Arial Narrow" w:hAnsi="Arial Narrow"/>
                <w:sz w:val="24"/>
                <w:szCs w:val="24"/>
              </w:rPr>
              <w:t xml:space="preserve">Al vencimiento del término de las licencias ambientales en curso, concedidas para lugares de disposición final de residuos, toda licencia que aspire a ser renovada o sea expedida deberá contener un plan de incorporación de tecnología con la finalidad de la disminución progresiva de residuos sólidos a </w:t>
            </w:r>
            <w:r w:rsidRPr="00C939F8">
              <w:rPr>
                <w:rFonts w:ascii="Arial Narrow" w:hAnsi="Arial Narrow"/>
                <w:sz w:val="24"/>
                <w:szCs w:val="24"/>
              </w:rPr>
              <w:lastRenderedPageBreak/>
              <w:t>través de cualquiera de las tecnologías relacionadas existentes o futuras que cumplan la misma finalidad.</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lastRenderedPageBreak/>
              <w:t>Artículo 6.</w:t>
            </w:r>
          </w:p>
        </w:tc>
        <w:tc>
          <w:tcPr>
            <w:tcW w:w="7185" w:type="dxa"/>
          </w:tcPr>
          <w:p w:rsidR="0062574A" w:rsidRPr="0092733F" w:rsidRDefault="00C939F8" w:rsidP="00F0793A">
            <w:pPr>
              <w:spacing w:after="0"/>
              <w:contextualSpacing/>
              <w:jc w:val="both"/>
              <w:rPr>
                <w:rFonts w:ascii="Arial Narrow" w:hAnsi="Arial Narrow"/>
                <w:sz w:val="24"/>
                <w:szCs w:val="24"/>
              </w:rPr>
            </w:pPr>
            <w:r w:rsidRPr="00C939F8">
              <w:rPr>
                <w:rFonts w:ascii="Arial Narrow" w:hAnsi="Arial Narrow"/>
                <w:sz w:val="24"/>
                <w:szCs w:val="24"/>
              </w:rPr>
              <w:t>Antes del depósito final de los residuos sólidos, estos deberán pasar por un punto de separación selectiva.</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7.</w:t>
            </w:r>
          </w:p>
        </w:tc>
        <w:tc>
          <w:tcPr>
            <w:tcW w:w="7185" w:type="dxa"/>
          </w:tcPr>
          <w:p w:rsidR="0062574A" w:rsidRPr="0092733F" w:rsidRDefault="00C939F8" w:rsidP="00F0793A">
            <w:pPr>
              <w:spacing w:after="0"/>
              <w:contextualSpacing/>
              <w:jc w:val="both"/>
              <w:rPr>
                <w:rFonts w:ascii="Arial Narrow" w:hAnsi="Arial Narrow"/>
                <w:sz w:val="24"/>
                <w:szCs w:val="24"/>
              </w:rPr>
            </w:pPr>
            <w:r w:rsidRPr="00C939F8">
              <w:rPr>
                <w:rFonts w:ascii="Arial Narrow" w:hAnsi="Arial Narrow"/>
                <w:sz w:val="24"/>
                <w:szCs w:val="24"/>
              </w:rPr>
              <w:t>En la fórmula de remuneración por disposición final de residuos se descontará el peso de los residuos aprovechables, de forma tal que se impida el depósito de los mismos. Restando del pago el peso producido por residuo aprovechable que se intente depositar.</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8.</w:t>
            </w:r>
          </w:p>
        </w:tc>
        <w:tc>
          <w:tcPr>
            <w:tcW w:w="7185" w:type="dxa"/>
          </w:tcPr>
          <w:p w:rsidR="0062574A" w:rsidRPr="0092733F" w:rsidRDefault="00C939F8" w:rsidP="00F0793A">
            <w:pPr>
              <w:spacing w:after="0"/>
              <w:contextualSpacing/>
              <w:jc w:val="both"/>
              <w:rPr>
                <w:rFonts w:ascii="Arial Narrow" w:hAnsi="Arial Narrow"/>
                <w:sz w:val="24"/>
                <w:szCs w:val="24"/>
              </w:rPr>
            </w:pPr>
            <w:r w:rsidRPr="00C939F8">
              <w:rPr>
                <w:rFonts w:ascii="Arial Narrow" w:hAnsi="Arial Narrow"/>
                <w:sz w:val="24"/>
                <w:szCs w:val="24"/>
              </w:rPr>
              <w:t>Los multiusuarios del servicio ordinario de aseo tienen derecho a que el prestador de este servicio realice su facturación de acuerdo con la producción real de residuos presentados, los cuales serán aforados por la persona prestadora. El cálculo de los residuos aprovechables deberá realizarse de manera oficiosa de conformidad con los estándares contenidos en la resolución 233 del 2002 o aquella que lo sustituya.</w:t>
            </w:r>
          </w:p>
        </w:tc>
      </w:tr>
      <w:tr w:rsidR="0062574A" w:rsidRPr="0092733F" w:rsidTr="00F0793A">
        <w:tc>
          <w:tcPr>
            <w:tcW w:w="1643" w:type="dxa"/>
            <w:shd w:val="clear" w:color="auto" w:fill="D9D9D9" w:themeFill="background1" w:themeFillShade="D9"/>
            <w:vAlign w:val="center"/>
          </w:tcPr>
          <w:p w:rsidR="0062574A" w:rsidRPr="0092733F" w:rsidRDefault="0062574A" w:rsidP="00F0793A">
            <w:pPr>
              <w:spacing w:after="0"/>
              <w:contextualSpacing/>
              <w:jc w:val="center"/>
              <w:rPr>
                <w:rFonts w:ascii="Arial Narrow" w:hAnsi="Arial Narrow"/>
                <w:b/>
                <w:sz w:val="24"/>
                <w:szCs w:val="24"/>
              </w:rPr>
            </w:pPr>
            <w:r w:rsidRPr="0092733F">
              <w:rPr>
                <w:rFonts w:ascii="Arial Narrow" w:hAnsi="Arial Narrow"/>
                <w:b/>
                <w:sz w:val="24"/>
                <w:szCs w:val="24"/>
              </w:rPr>
              <w:t>Artículo 9.</w:t>
            </w:r>
          </w:p>
        </w:tc>
        <w:tc>
          <w:tcPr>
            <w:tcW w:w="7185" w:type="dxa"/>
          </w:tcPr>
          <w:p w:rsidR="0062574A" w:rsidRPr="0092733F" w:rsidRDefault="00C939F8" w:rsidP="00F0793A">
            <w:pPr>
              <w:spacing w:after="0"/>
              <w:contextualSpacing/>
              <w:jc w:val="both"/>
              <w:rPr>
                <w:rFonts w:ascii="Arial Narrow" w:hAnsi="Arial Narrow"/>
                <w:sz w:val="24"/>
                <w:szCs w:val="24"/>
              </w:rPr>
            </w:pPr>
            <w:r w:rsidRPr="00C939F8">
              <w:rPr>
                <w:rFonts w:ascii="Arial Narrow" w:hAnsi="Arial Narrow"/>
                <w:sz w:val="24"/>
                <w:szCs w:val="24"/>
              </w:rPr>
              <w:t>Para el desarrollo de los preceptos contenidos en la presente ley se dispone un término de dos años contados a partir de la promulgación de la misma y deroga las disposiciones que le sean contrarias</w:t>
            </w:r>
          </w:p>
        </w:tc>
      </w:tr>
    </w:tbl>
    <w:p w:rsidR="00C77194" w:rsidRPr="0062574A" w:rsidRDefault="00C77194" w:rsidP="0062574A">
      <w:pPr>
        <w:pBdr>
          <w:top w:val="nil"/>
          <w:left w:val="nil"/>
          <w:bottom w:val="nil"/>
          <w:right w:val="nil"/>
          <w:between w:val="nil"/>
        </w:pBdr>
        <w:spacing w:after="0"/>
        <w:rPr>
          <w:rFonts w:ascii="Arial Narrow" w:hAnsi="Arial Narrow"/>
          <w:b/>
          <w:sz w:val="24"/>
          <w:szCs w:val="24"/>
        </w:rPr>
      </w:pPr>
    </w:p>
    <w:p w:rsidR="00F367F4" w:rsidRPr="00F32968" w:rsidRDefault="00A878F8" w:rsidP="00C939F8">
      <w:pPr>
        <w:spacing w:after="0"/>
        <w:contextualSpacing/>
        <w:jc w:val="both"/>
        <w:rPr>
          <w:rFonts w:ascii="Arial Narrow" w:hAnsi="Arial Narrow"/>
          <w:sz w:val="24"/>
          <w:szCs w:val="24"/>
        </w:rPr>
      </w:pPr>
      <w:r>
        <w:rPr>
          <w:rFonts w:ascii="Arial Narrow" w:hAnsi="Arial Narrow"/>
          <w:sz w:val="24"/>
          <w:szCs w:val="24"/>
        </w:rPr>
        <w:t xml:space="preserve"> </w:t>
      </w:r>
    </w:p>
    <w:p w:rsidR="0092733F" w:rsidRPr="0092733F" w:rsidRDefault="0092733F" w:rsidP="00C77194">
      <w:pPr>
        <w:numPr>
          <w:ilvl w:val="0"/>
          <w:numId w:val="17"/>
        </w:numPr>
        <w:pBdr>
          <w:top w:val="nil"/>
          <w:left w:val="nil"/>
          <w:bottom w:val="nil"/>
          <w:right w:val="nil"/>
          <w:between w:val="nil"/>
        </w:pBdr>
        <w:spacing w:after="0"/>
        <w:contextualSpacing/>
        <w:jc w:val="center"/>
        <w:rPr>
          <w:rFonts w:ascii="Arial Narrow" w:hAnsi="Arial Narrow"/>
          <w:b/>
          <w:sz w:val="24"/>
          <w:szCs w:val="24"/>
        </w:rPr>
      </w:pPr>
      <w:r w:rsidRPr="0092733F">
        <w:rPr>
          <w:rFonts w:ascii="Arial Narrow" w:hAnsi="Arial Narrow"/>
          <w:b/>
          <w:sz w:val="24"/>
          <w:szCs w:val="24"/>
        </w:rPr>
        <w:t>JUSTIFICACIÓN DE LA INICIATIVA LEGISLATIVA</w:t>
      </w:r>
      <w:r w:rsidRPr="0092733F">
        <w:rPr>
          <w:rFonts w:ascii="Arial Narrow" w:hAnsi="Arial Narrow"/>
          <w:b/>
          <w:sz w:val="24"/>
          <w:szCs w:val="24"/>
        </w:rPr>
        <w:br/>
      </w:r>
    </w:p>
    <w:p w:rsidR="0004438A" w:rsidRPr="00AA70B4" w:rsidRDefault="0004438A" w:rsidP="00AA70B4">
      <w:pPr>
        <w:jc w:val="both"/>
        <w:rPr>
          <w:rFonts w:ascii="Arial Narrow" w:eastAsia="Arial" w:hAnsi="Arial Narrow" w:cs="Arial"/>
          <w:sz w:val="24"/>
          <w:szCs w:val="24"/>
        </w:rPr>
      </w:pPr>
      <w:r w:rsidRPr="00AA70B4">
        <w:rPr>
          <w:rFonts w:ascii="Arial Narrow" w:eastAsia="Arial" w:hAnsi="Arial Narrow" w:cs="Arial"/>
          <w:sz w:val="24"/>
          <w:szCs w:val="24"/>
        </w:rPr>
        <w:t xml:space="preserve">El autor de la iniciativa fundamentó la misma bajo los argumentos que de manera sucinta se exponen a continuación: </w:t>
      </w:r>
    </w:p>
    <w:p w:rsidR="005D4730" w:rsidRDefault="0004438A" w:rsidP="00AA70B4">
      <w:pPr>
        <w:jc w:val="both"/>
        <w:rPr>
          <w:rFonts w:ascii="Arial Narrow" w:eastAsia="Arial" w:hAnsi="Arial Narrow" w:cs="Arial"/>
          <w:sz w:val="24"/>
          <w:szCs w:val="24"/>
        </w:rPr>
      </w:pPr>
      <w:r w:rsidRPr="00AA70B4">
        <w:rPr>
          <w:rFonts w:ascii="Arial Narrow" w:eastAsia="Arial" w:hAnsi="Arial Narrow" w:cs="Arial"/>
          <w:sz w:val="24"/>
          <w:szCs w:val="24"/>
        </w:rPr>
        <w:t xml:space="preserve">Como marco normativo cita </w:t>
      </w:r>
      <w:r w:rsidR="00C939F8" w:rsidRPr="00AA70B4">
        <w:rPr>
          <w:rFonts w:ascii="Arial Narrow" w:eastAsia="Arial" w:hAnsi="Arial Narrow" w:cs="Arial"/>
          <w:sz w:val="24"/>
          <w:szCs w:val="24"/>
        </w:rPr>
        <w:t>los artículos 79, 80 y en el numeral 8 del artículo 95</w:t>
      </w:r>
      <w:r w:rsidRPr="00AA70B4">
        <w:rPr>
          <w:rFonts w:ascii="Arial Narrow" w:eastAsia="Arial" w:hAnsi="Arial Narrow" w:cs="Arial"/>
          <w:sz w:val="24"/>
          <w:szCs w:val="24"/>
        </w:rPr>
        <w:t xml:space="preserve"> de la Constitución Política</w:t>
      </w:r>
      <w:r w:rsidR="00C939F8" w:rsidRPr="00AA70B4">
        <w:rPr>
          <w:rFonts w:ascii="Arial Narrow" w:eastAsia="Arial" w:hAnsi="Arial Narrow" w:cs="Arial"/>
          <w:sz w:val="24"/>
          <w:szCs w:val="24"/>
        </w:rPr>
        <w:t>,</w:t>
      </w:r>
      <w:r w:rsidRPr="00AA70B4">
        <w:rPr>
          <w:rFonts w:ascii="Arial Narrow" w:eastAsia="Arial" w:hAnsi="Arial Narrow" w:cs="Arial"/>
          <w:sz w:val="24"/>
          <w:szCs w:val="24"/>
        </w:rPr>
        <w:t xml:space="preserve"> con el fin de poner de presente</w:t>
      </w:r>
      <w:r w:rsidR="00C939F8" w:rsidRPr="00AA70B4">
        <w:rPr>
          <w:rFonts w:ascii="Arial Narrow" w:eastAsia="Arial" w:hAnsi="Arial Narrow" w:cs="Arial"/>
          <w:sz w:val="24"/>
          <w:szCs w:val="24"/>
        </w:rPr>
        <w:t xml:space="preserve"> la obligación del Estado de proteger la diversidad del ambiente, de prevenir y controlar los factores de deterioro ambiental y el derecho de todas las personar a gozar de un ambiente sano; así mismo consagra como deber de las personas y del ciudadano proteger los recursos culturales y naturales del país y velar por la conservación de un ambiente sano</w:t>
      </w:r>
      <w:r w:rsidRPr="00AA70B4">
        <w:rPr>
          <w:rFonts w:ascii="Arial Narrow" w:eastAsia="Arial" w:hAnsi="Arial Narrow" w:cs="Arial"/>
          <w:b/>
          <w:sz w:val="24"/>
          <w:szCs w:val="24"/>
        </w:rPr>
        <w:t xml:space="preserve">; </w:t>
      </w:r>
      <w:r w:rsidRPr="00AA70B4">
        <w:rPr>
          <w:rFonts w:ascii="Arial Narrow" w:eastAsia="Arial" w:hAnsi="Arial Narrow" w:cs="Arial"/>
          <w:sz w:val="24"/>
          <w:szCs w:val="24"/>
        </w:rPr>
        <w:t>de igual forma hace mención a</w:t>
      </w:r>
      <w:r w:rsidR="005D4730" w:rsidRPr="00AA70B4">
        <w:rPr>
          <w:rFonts w:ascii="Arial Narrow" w:eastAsia="Arial" w:hAnsi="Arial Narrow" w:cs="Arial"/>
          <w:sz w:val="24"/>
          <w:szCs w:val="24"/>
        </w:rPr>
        <w:t xml:space="preserve"> los Decretos 2811 de 1974, el</w:t>
      </w:r>
      <w:r w:rsidR="00C939F8" w:rsidRPr="00AA70B4">
        <w:rPr>
          <w:rFonts w:ascii="Arial Narrow" w:eastAsia="Arial" w:hAnsi="Arial Narrow" w:cs="Arial"/>
          <w:sz w:val="24"/>
          <w:szCs w:val="24"/>
        </w:rPr>
        <w:t xml:space="preserve"> 1713 de 2002 </w:t>
      </w:r>
      <w:r w:rsidR="005D4730" w:rsidRPr="00AA70B4">
        <w:rPr>
          <w:rFonts w:ascii="Arial Narrow" w:eastAsia="Arial" w:hAnsi="Arial Narrow" w:cs="Arial"/>
          <w:sz w:val="24"/>
          <w:szCs w:val="24"/>
        </w:rPr>
        <w:t xml:space="preserve">y las Resoluciones 1045 de 2003, </w:t>
      </w:r>
      <w:r w:rsidR="00C939F8" w:rsidRPr="00AA70B4">
        <w:rPr>
          <w:rFonts w:ascii="Arial Narrow" w:eastAsia="Arial" w:hAnsi="Arial Narrow" w:cs="Arial"/>
          <w:color w:val="000000"/>
          <w:sz w:val="24"/>
          <w:szCs w:val="24"/>
        </w:rPr>
        <w:t>1390</w:t>
      </w:r>
      <w:r w:rsidR="005D4730" w:rsidRPr="00AA70B4">
        <w:rPr>
          <w:rFonts w:ascii="Arial Narrow" w:eastAsia="Arial" w:hAnsi="Arial Narrow" w:cs="Arial"/>
          <w:color w:val="000000"/>
          <w:sz w:val="24"/>
          <w:szCs w:val="24"/>
        </w:rPr>
        <w:t xml:space="preserve"> de 2015 y la Resolución 1045 de 2003, con el fin de poner de presente que </w:t>
      </w:r>
      <w:r w:rsidR="00C939F8" w:rsidRPr="00AA70B4">
        <w:rPr>
          <w:rFonts w:ascii="Arial Narrow" w:eastAsia="Arial" w:hAnsi="Arial Narrow" w:cs="Arial"/>
          <w:sz w:val="24"/>
          <w:szCs w:val="24"/>
        </w:rPr>
        <w:t xml:space="preserve">tradicionalmente la normatividad en esta materia </w:t>
      </w:r>
      <w:r w:rsidR="005D4730" w:rsidRPr="00AA70B4">
        <w:rPr>
          <w:rFonts w:ascii="Arial Narrow" w:eastAsia="Arial" w:hAnsi="Arial Narrow" w:cs="Arial"/>
          <w:sz w:val="24"/>
          <w:szCs w:val="24"/>
        </w:rPr>
        <w:t xml:space="preserve">ha sido de naturaleza reglamentaria y las medidas </w:t>
      </w:r>
      <w:r w:rsidR="00F367F4" w:rsidRPr="00AA70B4">
        <w:rPr>
          <w:rFonts w:ascii="Arial Narrow" w:eastAsia="Arial" w:hAnsi="Arial Narrow" w:cs="Arial"/>
          <w:sz w:val="24"/>
          <w:szCs w:val="24"/>
        </w:rPr>
        <w:t>a</w:t>
      </w:r>
      <w:r w:rsidR="005D4730" w:rsidRPr="00AA70B4">
        <w:rPr>
          <w:rFonts w:ascii="Arial Narrow" w:eastAsia="Arial" w:hAnsi="Arial Narrow" w:cs="Arial"/>
          <w:sz w:val="24"/>
          <w:szCs w:val="24"/>
        </w:rPr>
        <w:t xml:space="preserve"> adoptar siempre han estado en</w:t>
      </w:r>
      <w:r w:rsidR="00C939F8" w:rsidRPr="00AA70B4">
        <w:rPr>
          <w:rFonts w:ascii="Arial Narrow" w:eastAsia="Arial" w:hAnsi="Arial Narrow" w:cs="Arial"/>
          <w:sz w:val="24"/>
          <w:szCs w:val="24"/>
        </w:rPr>
        <w:t xml:space="preserve"> cabeza de la</w:t>
      </w:r>
      <w:r w:rsidR="005D4730" w:rsidRPr="00AA70B4">
        <w:rPr>
          <w:rFonts w:ascii="Arial Narrow" w:eastAsia="Arial" w:hAnsi="Arial Narrow" w:cs="Arial"/>
          <w:sz w:val="24"/>
          <w:szCs w:val="24"/>
        </w:rPr>
        <w:t>s</w:t>
      </w:r>
      <w:r w:rsidR="00C939F8" w:rsidRPr="00AA70B4">
        <w:rPr>
          <w:rFonts w:ascii="Arial Narrow" w:eastAsia="Arial" w:hAnsi="Arial Narrow" w:cs="Arial"/>
          <w:sz w:val="24"/>
          <w:szCs w:val="24"/>
        </w:rPr>
        <w:t xml:space="preserve"> entidad</w:t>
      </w:r>
      <w:r w:rsidR="005D4730" w:rsidRPr="00AA70B4">
        <w:rPr>
          <w:rFonts w:ascii="Arial Narrow" w:eastAsia="Arial" w:hAnsi="Arial Narrow" w:cs="Arial"/>
          <w:sz w:val="24"/>
          <w:szCs w:val="24"/>
        </w:rPr>
        <w:t>es</w:t>
      </w:r>
      <w:r w:rsidR="00C939F8" w:rsidRPr="00AA70B4">
        <w:rPr>
          <w:rFonts w:ascii="Arial Narrow" w:eastAsia="Arial" w:hAnsi="Arial Narrow" w:cs="Arial"/>
          <w:sz w:val="24"/>
          <w:szCs w:val="24"/>
        </w:rPr>
        <w:t xml:space="preserve"> territorial</w:t>
      </w:r>
      <w:r w:rsidR="005D4730" w:rsidRPr="00AA70B4">
        <w:rPr>
          <w:rFonts w:ascii="Arial Narrow" w:eastAsia="Arial" w:hAnsi="Arial Narrow" w:cs="Arial"/>
          <w:sz w:val="24"/>
          <w:szCs w:val="24"/>
        </w:rPr>
        <w:t>es correspondientes, las cuales han tenido que</w:t>
      </w:r>
      <w:r w:rsidR="00C939F8" w:rsidRPr="00AA70B4">
        <w:rPr>
          <w:rFonts w:ascii="Arial Narrow" w:eastAsia="Arial" w:hAnsi="Arial Narrow" w:cs="Arial"/>
          <w:sz w:val="24"/>
          <w:szCs w:val="24"/>
        </w:rPr>
        <w:t xml:space="preserve"> adelantar las gestiones correspondientes a la modernización y adopción de nuevas tecnologías</w:t>
      </w:r>
      <w:r w:rsidR="005D4730" w:rsidRPr="00AA70B4">
        <w:rPr>
          <w:rFonts w:ascii="Arial Narrow" w:eastAsia="Arial" w:hAnsi="Arial Narrow" w:cs="Arial"/>
          <w:sz w:val="24"/>
          <w:szCs w:val="24"/>
        </w:rPr>
        <w:t xml:space="preserve"> para el manejo, tratamiento y disposición final de los residuos sólidos. A juicio del autor, tales medidas </w:t>
      </w:r>
      <w:r w:rsidR="00C939F8" w:rsidRPr="00AA70B4">
        <w:rPr>
          <w:rFonts w:ascii="Arial Narrow" w:eastAsia="Arial" w:hAnsi="Arial Narrow" w:cs="Arial"/>
          <w:sz w:val="24"/>
          <w:szCs w:val="24"/>
        </w:rPr>
        <w:t xml:space="preserve">han </w:t>
      </w:r>
      <w:r w:rsidR="005D4730" w:rsidRPr="00AA70B4">
        <w:rPr>
          <w:rFonts w:ascii="Arial Narrow" w:eastAsia="Arial" w:hAnsi="Arial Narrow" w:cs="Arial"/>
          <w:sz w:val="24"/>
          <w:szCs w:val="24"/>
        </w:rPr>
        <w:t xml:space="preserve">resultado </w:t>
      </w:r>
      <w:r w:rsidR="00C939F8" w:rsidRPr="00AA70B4">
        <w:rPr>
          <w:rFonts w:ascii="Arial Narrow" w:eastAsia="Arial" w:hAnsi="Arial Narrow" w:cs="Arial"/>
          <w:sz w:val="24"/>
          <w:szCs w:val="24"/>
        </w:rPr>
        <w:t>insuficientes,</w:t>
      </w:r>
      <w:r w:rsidR="005D4730" w:rsidRPr="00AA70B4">
        <w:rPr>
          <w:rFonts w:ascii="Arial Narrow" w:eastAsia="Arial" w:hAnsi="Arial Narrow" w:cs="Arial"/>
          <w:sz w:val="24"/>
          <w:szCs w:val="24"/>
        </w:rPr>
        <w:t xml:space="preserve"> evidenciándose </w:t>
      </w:r>
      <w:r w:rsidR="00C939F8" w:rsidRPr="00AA70B4">
        <w:rPr>
          <w:rFonts w:ascii="Arial Narrow" w:eastAsia="Arial" w:hAnsi="Arial Narrow" w:cs="Arial"/>
          <w:sz w:val="24"/>
          <w:szCs w:val="24"/>
        </w:rPr>
        <w:t xml:space="preserve">un déficit en la inspección vigilancia y control, alrededor de este servicio público complementario.   </w:t>
      </w:r>
    </w:p>
    <w:p w:rsidR="006872FF" w:rsidRPr="00AA70B4" w:rsidRDefault="006872FF" w:rsidP="00AA70B4">
      <w:pPr>
        <w:jc w:val="both"/>
        <w:rPr>
          <w:rFonts w:ascii="Arial Narrow" w:eastAsia="Arial" w:hAnsi="Arial Narrow" w:cs="Arial"/>
          <w:sz w:val="24"/>
          <w:szCs w:val="24"/>
        </w:rPr>
      </w:pPr>
    </w:p>
    <w:p w:rsidR="00C939F8" w:rsidRPr="00AA70B4" w:rsidRDefault="00E44251" w:rsidP="00AA70B4">
      <w:pPr>
        <w:jc w:val="both"/>
        <w:rPr>
          <w:rFonts w:ascii="Arial Narrow" w:eastAsia="Arial" w:hAnsi="Arial Narrow" w:cs="Arial"/>
          <w:b/>
          <w:sz w:val="24"/>
          <w:szCs w:val="24"/>
        </w:rPr>
      </w:pPr>
      <w:r>
        <w:rPr>
          <w:rFonts w:ascii="Arial Narrow" w:eastAsia="Arial" w:hAnsi="Arial Narrow" w:cs="Arial"/>
          <w:b/>
          <w:sz w:val="24"/>
          <w:szCs w:val="24"/>
        </w:rPr>
        <w:t>CONTEXTO.</w:t>
      </w:r>
    </w:p>
    <w:p w:rsidR="00C939F8" w:rsidRPr="00AA70B4" w:rsidRDefault="00E44251" w:rsidP="00AA70B4">
      <w:pPr>
        <w:jc w:val="both"/>
        <w:rPr>
          <w:rFonts w:ascii="Arial Narrow" w:eastAsia="Arial" w:hAnsi="Arial Narrow" w:cs="Arial"/>
          <w:sz w:val="24"/>
          <w:szCs w:val="24"/>
        </w:rPr>
      </w:pPr>
      <w:r>
        <w:rPr>
          <w:rFonts w:ascii="Arial Narrow" w:eastAsia="Arial" w:hAnsi="Arial Narrow" w:cs="Arial"/>
          <w:sz w:val="24"/>
          <w:szCs w:val="24"/>
        </w:rPr>
        <w:t>El autor hace un breve diagnóstico sobre la situación actual del país referente a la materia, exponiendo que, p</w:t>
      </w:r>
      <w:r w:rsidR="00C939F8" w:rsidRPr="00AA70B4">
        <w:rPr>
          <w:rFonts w:ascii="Arial Narrow" w:eastAsia="Arial" w:hAnsi="Arial Narrow" w:cs="Arial"/>
          <w:sz w:val="24"/>
          <w:szCs w:val="24"/>
        </w:rPr>
        <w:t xml:space="preserve">ara el año 2016, en el país existían 275 sitios de disposición final entre adecuados e inadecuados, como se observa en la </w:t>
      </w:r>
      <w:r w:rsidR="00C939F8" w:rsidRPr="00AA70B4">
        <w:rPr>
          <w:rFonts w:ascii="Arial Narrow" w:eastAsia="Arial" w:hAnsi="Arial Narrow" w:cs="Arial"/>
          <w:i/>
          <w:sz w:val="24"/>
          <w:szCs w:val="24"/>
        </w:rPr>
        <w:t>Figura 1,</w:t>
      </w:r>
      <w:r w:rsidR="00C939F8" w:rsidRPr="00AA70B4">
        <w:rPr>
          <w:rFonts w:ascii="Arial Narrow" w:eastAsia="Arial" w:hAnsi="Arial Narrow" w:cs="Arial"/>
          <w:sz w:val="24"/>
          <w:szCs w:val="24"/>
        </w:rPr>
        <w:t xml:space="preserve"> dentro de los adecuados se tiene: 158 rellenos sanitarios; 13 celdas de contingencia; 6 plantas de tratamiento. En cuanto a los sistemas inadecuados de disposición de residuos, se encontraron: 54 botaderos a cielo abierto; 34 celdas transitorias; 7 sitios de enterramientos; 1 sitio de quema.</w:t>
      </w:r>
    </w:p>
    <w:p w:rsidR="00C939F8" w:rsidRPr="00AA70B4" w:rsidRDefault="00C939F8" w:rsidP="00AA70B4">
      <w:pPr>
        <w:pBdr>
          <w:top w:val="nil"/>
          <w:left w:val="nil"/>
          <w:bottom w:val="nil"/>
          <w:right w:val="nil"/>
          <w:between w:val="nil"/>
        </w:pBdr>
        <w:spacing w:after="0"/>
        <w:jc w:val="both"/>
        <w:rPr>
          <w:rFonts w:ascii="Arial Narrow" w:hAnsi="Arial Narrow" w:cs="Arial"/>
          <w:sz w:val="24"/>
          <w:szCs w:val="24"/>
        </w:rPr>
      </w:pPr>
      <w:r w:rsidRPr="00AA70B4">
        <w:rPr>
          <w:rFonts w:ascii="Arial Narrow" w:eastAsia="Arial" w:hAnsi="Arial Narrow" w:cs="Arial"/>
          <w:color w:val="000000"/>
          <w:sz w:val="24"/>
          <w:szCs w:val="24"/>
        </w:rPr>
        <w:t>La disposición final inadecuada es aquella que no posee la aprobación de la autoridad ambiental competente para operar, en su mayoría no cumplen los lineamientos técnicos de operación y no están reconocidos como una alternativa de disposición final, s</w:t>
      </w:r>
      <w:r w:rsidR="00AA70B4" w:rsidRPr="00AA70B4">
        <w:rPr>
          <w:rFonts w:ascii="Arial Narrow" w:eastAsia="Arial" w:hAnsi="Arial Narrow" w:cs="Arial"/>
          <w:color w:val="000000"/>
          <w:sz w:val="24"/>
          <w:szCs w:val="24"/>
        </w:rPr>
        <w:t xml:space="preserve">egún la normatividad colombiana dentro de los cuales se encuentra: </w:t>
      </w:r>
      <w:r w:rsidRPr="00AA70B4">
        <w:rPr>
          <w:rFonts w:ascii="Arial Narrow" w:eastAsia="Arial" w:hAnsi="Arial Narrow" w:cs="Arial"/>
          <w:color w:val="000000"/>
          <w:sz w:val="24"/>
          <w:szCs w:val="24"/>
        </w:rPr>
        <w:t>celda</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transitoria</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botadero</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a cielo abierto, enterramiento</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vertimiento</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a cuerpos de agua, quema de los residuos sólidos, y todo aquel que no cumpla con las definiciones, autorizaciones y requerimiento</w:t>
      </w:r>
      <w:r w:rsidR="00AA70B4" w:rsidRPr="00AA70B4">
        <w:rPr>
          <w:rFonts w:ascii="Arial Narrow" w:eastAsia="Arial" w:hAnsi="Arial Narrow" w:cs="Arial"/>
          <w:color w:val="000000"/>
          <w:sz w:val="24"/>
          <w:szCs w:val="24"/>
        </w:rPr>
        <w:t xml:space="preserve">s de la normatividad colombiana; mientras que </w:t>
      </w:r>
      <w:r w:rsidR="00F367F4">
        <w:rPr>
          <w:rFonts w:ascii="Arial Narrow" w:eastAsia="Arial" w:hAnsi="Arial Narrow" w:cs="Arial"/>
          <w:color w:val="000000"/>
          <w:sz w:val="24"/>
          <w:szCs w:val="24"/>
        </w:rPr>
        <w:t xml:space="preserve">en </w:t>
      </w:r>
      <w:r w:rsidR="00AA70B4" w:rsidRPr="00AA70B4">
        <w:rPr>
          <w:rFonts w:ascii="Arial Narrow" w:eastAsia="Arial" w:hAnsi="Arial Narrow" w:cs="Arial"/>
          <w:color w:val="000000"/>
          <w:sz w:val="24"/>
          <w:szCs w:val="24"/>
        </w:rPr>
        <w:t>los S</w:t>
      </w:r>
      <w:r w:rsidRPr="00AA70B4">
        <w:rPr>
          <w:rFonts w:ascii="Arial Narrow" w:eastAsia="Arial" w:hAnsi="Arial Narrow" w:cs="Arial"/>
          <w:color w:val="000000"/>
          <w:sz w:val="24"/>
          <w:szCs w:val="24"/>
        </w:rPr>
        <w:t xml:space="preserve">istemas </w:t>
      </w:r>
      <w:r w:rsidR="00AA70B4" w:rsidRPr="00AA70B4">
        <w:rPr>
          <w:rFonts w:ascii="Arial Narrow" w:eastAsia="Arial" w:hAnsi="Arial Narrow" w:cs="Arial"/>
          <w:color w:val="000000"/>
          <w:sz w:val="24"/>
          <w:szCs w:val="24"/>
        </w:rPr>
        <w:t xml:space="preserve">de disposición final adecuados se encuentran los </w:t>
      </w:r>
      <w:r w:rsidRPr="00AA70B4">
        <w:rPr>
          <w:rFonts w:ascii="Arial Narrow" w:eastAsia="Arial" w:hAnsi="Arial Narrow" w:cs="Arial"/>
          <w:color w:val="000000"/>
          <w:sz w:val="24"/>
          <w:szCs w:val="24"/>
        </w:rPr>
        <w:t>relleno</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sanitario</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w:t>
      </w:r>
      <w:r w:rsidR="00AA70B4" w:rsidRPr="00AA70B4">
        <w:rPr>
          <w:rFonts w:ascii="Arial Narrow" w:eastAsia="Arial" w:hAnsi="Arial Narrow" w:cs="Arial"/>
          <w:color w:val="000000"/>
          <w:sz w:val="24"/>
          <w:szCs w:val="24"/>
        </w:rPr>
        <w:t xml:space="preserve">las </w:t>
      </w:r>
      <w:r w:rsidRPr="00AA70B4">
        <w:rPr>
          <w:rFonts w:ascii="Arial Narrow" w:eastAsia="Arial" w:hAnsi="Arial Narrow" w:cs="Arial"/>
          <w:color w:val="000000"/>
          <w:sz w:val="24"/>
          <w:szCs w:val="24"/>
        </w:rPr>
        <w:t>planta</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de tratamiento y </w:t>
      </w:r>
      <w:r w:rsidR="00AA70B4" w:rsidRPr="00AA70B4">
        <w:rPr>
          <w:rFonts w:ascii="Arial Narrow" w:eastAsia="Arial" w:hAnsi="Arial Narrow" w:cs="Arial"/>
          <w:color w:val="000000"/>
          <w:sz w:val="24"/>
          <w:szCs w:val="24"/>
        </w:rPr>
        <w:t xml:space="preserve">las </w:t>
      </w:r>
      <w:r w:rsidRPr="00AA70B4">
        <w:rPr>
          <w:rFonts w:ascii="Arial Narrow" w:eastAsia="Arial" w:hAnsi="Arial Narrow" w:cs="Arial"/>
          <w:color w:val="000000"/>
          <w:sz w:val="24"/>
          <w:szCs w:val="24"/>
        </w:rPr>
        <w:t>celda</w:t>
      </w:r>
      <w:r w:rsidR="00AA70B4" w:rsidRPr="00AA70B4">
        <w:rPr>
          <w:rFonts w:ascii="Arial Narrow" w:eastAsia="Arial" w:hAnsi="Arial Narrow" w:cs="Arial"/>
          <w:color w:val="000000"/>
          <w:sz w:val="24"/>
          <w:szCs w:val="24"/>
        </w:rPr>
        <w:t>s</w:t>
      </w:r>
      <w:r w:rsidRPr="00AA70B4">
        <w:rPr>
          <w:rFonts w:ascii="Arial Narrow" w:eastAsia="Arial" w:hAnsi="Arial Narrow" w:cs="Arial"/>
          <w:color w:val="000000"/>
          <w:sz w:val="24"/>
          <w:szCs w:val="24"/>
        </w:rPr>
        <w:t xml:space="preserve"> de contingencia.</w:t>
      </w:r>
      <w:r w:rsidRPr="00AA70B4">
        <w:rPr>
          <w:rFonts w:ascii="Arial Narrow" w:eastAsia="Arial" w:hAnsi="Arial Narrow" w:cs="Arial"/>
          <w:color w:val="000000"/>
          <w:sz w:val="24"/>
          <w:szCs w:val="24"/>
          <w:vertAlign w:val="superscript"/>
        </w:rPr>
        <w:footnoteReference w:id="1"/>
      </w:r>
    </w:p>
    <w:p w:rsidR="00AA70B4" w:rsidRPr="00AA70B4" w:rsidRDefault="00AA70B4" w:rsidP="00AA70B4">
      <w:pPr>
        <w:pBdr>
          <w:top w:val="nil"/>
          <w:left w:val="nil"/>
          <w:bottom w:val="nil"/>
          <w:right w:val="nil"/>
          <w:between w:val="nil"/>
        </w:pBdr>
        <w:spacing w:after="0"/>
        <w:jc w:val="both"/>
        <w:rPr>
          <w:rFonts w:ascii="Arial Narrow" w:hAnsi="Arial Narrow" w:cs="Arial"/>
          <w:sz w:val="24"/>
          <w:szCs w:val="24"/>
        </w:rPr>
      </w:pPr>
    </w:p>
    <w:p w:rsidR="00C939F8" w:rsidRPr="00E44251" w:rsidRDefault="00E44251" w:rsidP="00AA70B4">
      <w:pPr>
        <w:pBdr>
          <w:top w:val="nil"/>
          <w:left w:val="nil"/>
          <w:bottom w:val="nil"/>
          <w:right w:val="nil"/>
          <w:between w:val="nil"/>
        </w:pBdr>
        <w:jc w:val="both"/>
        <w:rPr>
          <w:rFonts w:ascii="Arial Narrow" w:eastAsia="Arial" w:hAnsi="Arial Narrow" w:cs="Arial"/>
          <w:color w:val="000000"/>
          <w:sz w:val="24"/>
          <w:szCs w:val="24"/>
        </w:rPr>
      </w:pPr>
      <w:r>
        <w:rPr>
          <w:rFonts w:ascii="Arial Narrow" w:eastAsia="Arial" w:hAnsi="Arial Narrow" w:cs="Arial"/>
          <w:color w:val="000000"/>
          <w:sz w:val="24"/>
          <w:szCs w:val="24"/>
        </w:rPr>
        <w:t xml:space="preserve">El autor anexó una gráfica en la cual se podían identificar </w:t>
      </w:r>
      <w:r w:rsidR="00C939F8" w:rsidRPr="00AA70B4">
        <w:rPr>
          <w:rFonts w:ascii="Arial Narrow" w:eastAsia="Arial" w:hAnsi="Arial Narrow" w:cs="Arial"/>
          <w:color w:val="000000"/>
          <w:sz w:val="24"/>
          <w:szCs w:val="24"/>
        </w:rPr>
        <w:t>geográficamente los lugares de disposición final de recursos, diferenciando entre inadecuado, adecuado, y sin información, es preocupante ver la gran extensión de lugares sobre los cuales no se posee información, adicional resalt</w:t>
      </w:r>
      <w:r>
        <w:rPr>
          <w:rFonts w:ascii="Arial Narrow" w:eastAsia="Arial" w:hAnsi="Arial Narrow" w:cs="Arial"/>
          <w:color w:val="000000"/>
          <w:sz w:val="24"/>
          <w:szCs w:val="24"/>
        </w:rPr>
        <w:t xml:space="preserve">a la concentración de sitios de </w:t>
      </w:r>
      <w:r w:rsidR="00C939F8" w:rsidRPr="00AA70B4">
        <w:rPr>
          <w:rFonts w:ascii="Arial Narrow" w:eastAsia="Arial" w:hAnsi="Arial Narrow" w:cs="Arial"/>
          <w:color w:val="000000"/>
          <w:sz w:val="24"/>
          <w:szCs w:val="24"/>
        </w:rPr>
        <w:t xml:space="preserve">disposición inadecuada en cabeceras urbanas y su extensión generalizada en los departamentos del país. </w:t>
      </w:r>
      <w:r w:rsidR="00C939F8" w:rsidRPr="00C5482E">
        <w:rPr>
          <w:rFonts w:ascii="Arial" w:eastAsia="Arial" w:hAnsi="Arial" w:cs="Arial"/>
          <w:color w:val="000000"/>
        </w:rPr>
        <w:t xml:space="preserve">  </w:t>
      </w:r>
    </w:p>
    <w:p w:rsidR="00C939F8" w:rsidRPr="00AA70B4" w:rsidRDefault="00C939F8" w:rsidP="00AA70B4">
      <w:pPr>
        <w:spacing w:after="0" w:line="240" w:lineRule="auto"/>
        <w:jc w:val="center"/>
        <w:rPr>
          <w:rFonts w:ascii="Arial" w:eastAsia="Arial" w:hAnsi="Arial" w:cs="Arial"/>
          <w:b/>
          <w:sz w:val="20"/>
        </w:rPr>
      </w:pPr>
      <w:r w:rsidRPr="00AA70B4">
        <w:rPr>
          <w:rFonts w:ascii="Arial" w:eastAsia="Arial" w:hAnsi="Arial" w:cs="Arial"/>
          <w:b/>
          <w:noProof/>
          <w:sz w:val="20"/>
          <w:lang w:eastAsia="es-CO"/>
        </w:rPr>
        <w:lastRenderedPageBreak/>
        <w:drawing>
          <wp:inline distT="0" distB="0" distL="0" distR="0" wp14:anchorId="3C25788E" wp14:editId="048EADF7">
            <wp:extent cx="4648200" cy="5695950"/>
            <wp:effectExtent l="0" t="0" r="0" b="0"/>
            <wp:docPr id="1" name="image2.jpg" descr="H:\Congreso\Trabajo\Investigaciones\Rellenos Sanitarios\INFORME+Nacional+2016+Disposicion+Final+de+Residuos+Solidos+(1)-063.jpg"/>
            <wp:cNvGraphicFramePr/>
            <a:graphic xmlns:a="http://schemas.openxmlformats.org/drawingml/2006/main">
              <a:graphicData uri="http://schemas.openxmlformats.org/drawingml/2006/picture">
                <pic:pic xmlns:pic="http://schemas.openxmlformats.org/drawingml/2006/picture">
                  <pic:nvPicPr>
                    <pic:cNvPr id="0" name="image2.jpg" descr="H:\Congreso\Trabajo\Investigaciones\Rellenos Sanitarios\INFORME+Nacional+2016+Disposicion+Final+de+Residuos+Solidos+(1)-063.jpg"/>
                    <pic:cNvPicPr preferRelativeResize="0"/>
                  </pic:nvPicPr>
                  <pic:blipFill>
                    <a:blip r:embed="rId8"/>
                    <a:srcRect/>
                    <a:stretch>
                      <a:fillRect/>
                    </a:stretch>
                  </pic:blipFill>
                  <pic:spPr>
                    <a:xfrm>
                      <a:off x="0" y="0"/>
                      <a:ext cx="4648398" cy="5696193"/>
                    </a:xfrm>
                    <a:prstGeom prst="rect">
                      <a:avLst/>
                    </a:prstGeom>
                    <a:ln/>
                  </pic:spPr>
                </pic:pic>
              </a:graphicData>
            </a:graphic>
          </wp:inline>
        </w:drawing>
      </w:r>
    </w:p>
    <w:p w:rsidR="00C939F8" w:rsidRPr="00E44251" w:rsidRDefault="00C939F8" w:rsidP="00AA70B4">
      <w:pPr>
        <w:spacing w:after="0" w:line="240" w:lineRule="auto"/>
        <w:jc w:val="center"/>
        <w:rPr>
          <w:rFonts w:ascii="Arial Narrow" w:eastAsia="Arial" w:hAnsi="Arial Narrow" w:cs="Arial"/>
          <w:b/>
          <w:sz w:val="20"/>
        </w:rPr>
      </w:pPr>
      <w:r w:rsidRPr="00E44251">
        <w:rPr>
          <w:rFonts w:ascii="Arial Narrow" w:eastAsia="Arial" w:hAnsi="Arial Narrow" w:cs="Arial"/>
          <w:b/>
          <w:i/>
          <w:sz w:val="20"/>
        </w:rPr>
        <w:t xml:space="preserve">Figura 1. </w:t>
      </w:r>
      <w:r w:rsidRPr="00E44251">
        <w:rPr>
          <w:rFonts w:ascii="Arial Narrow" w:eastAsia="Arial" w:hAnsi="Arial Narrow" w:cs="Arial"/>
          <w:b/>
          <w:sz w:val="20"/>
        </w:rPr>
        <w:t>Disposición final de los residuos por municipio</w:t>
      </w:r>
    </w:p>
    <w:p w:rsidR="00C939F8" w:rsidRPr="00E44251" w:rsidRDefault="00C939F8" w:rsidP="00AA70B4">
      <w:pPr>
        <w:spacing w:line="240" w:lineRule="auto"/>
        <w:jc w:val="center"/>
        <w:rPr>
          <w:rFonts w:ascii="Arial Narrow" w:eastAsia="Arial" w:hAnsi="Arial Narrow" w:cs="Arial"/>
          <w:b/>
          <w:i/>
          <w:sz w:val="20"/>
        </w:rPr>
      </w:pPr>
      <w:r w:rsidRPr="00E44251">
        <w:rPr>
          <w:rFonts w:ascii="Arial Narrow" w:eastAsia="Arial" w:hAnsi="Arial Narrow" w:cs="Arial"/>
          <w:b/>
          <w:sz w:val="20"/>
        </w:rPr>
        <w:t xml:space="preserve">Fuente: Superservicios. </w:t>
      </w:r>
      <w:r w:rsidRPr="00E44251">
        <w:rPr>
          <w:rFonts w:ascii="Arial Narrow" w:eastAsia="Arial" w:hAnsi="Arial Narrow" w:cs="Arial"/>
          <w:b/>
          <w:i/>
          <w:sz w:val="20"/>
        </w:rPr>
        <w:t>Disposición Final de Residuos Sólidos 2016.</w:t>
      </w:r>
    </w:p>
    <w:p w:rsidR="00C939F8" w:rsidRPr="00AA70B4" w:rsidRDefault="00C939F8" w:rsidP="00AA70B4">
      <w:pPr>
        <w:spacing w:after="0"/>
        <w:jc w:val="both"/>
        <w:rPr>
          <w:rFonts w:ascii="Arial" w:eastAsia="Arial" w:hAnsi="Arial" w:cs="Arial"/>
          <w:i/>
          <w:sz w:val="20"/>
        </w:rPr>
      </w:pPr>
      <w:r w:rsidRPr="00AA70B4">
        <w:rPr>
          <w:rFonts w:ascii="Arial" w:eastAsia="Arial" w:hAnsi="Arial" w:cs="Arial"/>
          <w:i/>
          <w:noProof/>
          <w:sz w:val="20"/>
          <w:lang w:eastAsia="es-CO"/>
        </w:rPr>
        <w:lastRenderedPageBreak/>
        <w:drawing>
          <wp:inline distT="0" distB="0" distL="0" distR="0" wp14:anchorId="224F86FD" wp14:editId="5FFA4B16">
            <wp:extent cx="5405103" cy="6999076"/>
            <wp:effectExtent l="0" t="0" r="0" b="0"/>
            <wp:docPr id="3" name="image8.jpg" descr="H:\Congreso\Trabajo\Investigaciones\Rellenos Sanitarios\INFORME+Nacional+2016+Disposicion+Final+de+Residuos+Solidos+(1)-064.jpg"/>
            <wp:cNvGraphicFramePr/>
            <a:graphic xmlns:a="http://schemas.openxmlformats.org/drawingml/2006/main">
              <a:graphicData uri="http://schemas.openxmlformats.org/drawingml/2006/picture">
                <pic:pic xmlns:pic="http://schemas.openxmlformats.org/drawingml/2006/picture">
                  <pic:nvPicPr>
                    <pic:cNvPr id="0" name="image8.jpg" descr="H:\Congreso\Trabajo\Investigaciones\Rellenos Sanitarios\INFORME+Nacional+2016+Disposicion+Final+de+Residuos+Solidos+(1)-064.jpg"/>
                    <pic:cNvPicPr preferRelativeResize="0"/>
                  </pic:nvPicPr>
                  <pic:blipFill>
                    <a:blip r:embed="rId9"/>
                    <a:srcRect/>
                    <a:stretch>
                      <a:fillRect/>
                    </a:stretch>
                  </pic:blipFill>
                  <pic:spPr>
                    <a:xfrm>
                      <a:off x="0" y="0"/>
                      <a:ext cx="5405103" cy="6999076"/>
                    </a:xfrm>
                    <a:prstGeom prst="rect">
                      <a:avLst/>
                    </a:prstGeom>
                    <a:ln/>
                  </pic:spPr>
                </pic:pic>
              </a:graphicData>
            </a:graphic>
          </wp:inline>
        </w:drawing>
      </w:r>
    </w:p>
    <w:p w:rsidR="00C939F8" w:rsidRPr="00AA70B4" w:rsidRDefault="00AA70B4" w:rsidP="00AA70B4">
      <w:pPr>
        <w:spacing w:after="0"/>
        <w:jc w:val="center"/>
        <w:rPr>
          <w:rFonts w:ascii="Arial Narrow" w:eastAsia="Arial" w:hAnsi="Arial Narrow" w:cs="Arial"/>
          <w:b/>
          <w:sz w:val="20"/>
          <w:szCs w:val="20"/>
        </w:rPr>
      </w:pPr>
      <w:r w:rsidRPr="00AA70B4">
        <w:rPr>
          <w:rFonts w:ascii="Arial Narrow" w:eastAsia="Arial" w:hAnsi="Arial Narrow" w:cs="Arial"/>
          <w:b/>
          <w:i/>
          <w:sz w:val="20"/>
          <w:szCs w:val="20"/>
        </w:rPr>
        <w:t>Figura 2</w:t>
      </w:r>
      <w:r w:rsidR="00C939F8" w:rsidRPr="00AA70B4">
        <w:rPr>
          <w:rFonts w:ascii="Arial Narrow" w:eastAsia="Arial" w:hAnsi="Arial Narrow" w:cs="Arial"/>
          <w:b/>
          <w:i/>
          <w:sz w:val="20"/>
          <w:szCs w:val="20"/>
        </w:rPr>
        <w:t xml:space="preserve">. </w:t>
      </w:r>
      <w:r w:rsidR="00C939F8" w:rsidRPr="00AA70B4">
        <w:rPr>
          <w:rFonts w:ascii="Arial Narrow" w:eastAsia="Arial" w:hAnsi="Arial Narrow" w:cs="Arial"/>
          <w:b/>
          <w:sz w:val="20"/>
          <w:szCs w:val="20"/>
        </w:rPr>
        <w:t>Ubicación de sitios de disposición según el tipo.</w:t>
      </w:r>
    </w:p>
    <w:p w:rsidR="00C939F8" w:rsidRPr="00AA70B4" w:rsidRDefault="00C939F8" w:rsidP="00AA70B4">
      <w:pPr>
        <w:spacing w:after="0"/>
        <w:jc w:val="center"/>
        <w:rPr>
          <w:rFonts w:ascii="Arial Narrow" w:eastAsia="Arial" w:hAnsi="Arial Narrow" w:cs="Arial"/>
          <w:sz w:val="20"/>
          <w:szCs w:val="20"/>
        </w:rPr>
      </w:pPr>
      <w:r w:rsidRPr="00AA70B4">
        <w:rPr>
          <w:rFonts w:ascii="Arial Narrow" w:eastAsia="Arial" w:hAnsi="Arial Narrow" w:cs="Arial"/>
          <w:b/>
          <w:sz w:val="20"/>
          <w:szCs w:val="20"/>
        </w:rPr>
        <w:t>Fuente: Superservicios y DNP. Disposición final de residuos sólidos 2016.</w:t>
      </w:r>
    </w:p>
    <w:p w:rsidR="00C939F8" w:rsidRPr="00C5482E" w:rsidRDefault="00C939F8" w:rsidP="00C939F8">
      <w:pPr>
        <w:spacing w:line="360" w:lineRule="auto"/>
        <w:jc w:val="both"/>
        <w:rPr>
          <w:rFonts w:ascii="Arial" w:eastAsia="Arial" w:hAnsi="Arial" w:cs="Arial"/>
        </w:rPr>
      </w:pPr>
    </w:p>
    <w:p w:rsidR="00C939F8" w:rsidRPr="009C1575" w:rsidRDefault="00E44251" w:rsidP="009C1575">
      <w:pPr>
        <w:shd w:val="clear" w:color="auto" w:fill="FFFFFF"/>
        <w:spacing w:before="280" w:after="280"/>
        <w:jc w:val="both"/>
        <w:rPr>
          <w:rFonts w:ascii="Arial Narrow" w:eastAsia="Arial" w:hAnsi="Arial Narrow" w:cs="Arial"/>
          <w:sz w:val="24"/>
          <w:szCs w:val="24"/>
        </w:rPr>
      </w:pPr>
      <w:r>
        <w:rPr>
          <w:rFonts w:ascii="Arial Narrow" w:eastAsia="Arial" w:hAnsi="Arial Narrow" w:cs="Arial"/>
          <w:sz w:val="24"/>
          <w:szCs w:val="24"/>
          <w:highlight w:val="white"/>
        </w:rPr>
        <w:lastRenderedPageBreak/>
        <w:t>Argumento que l</w:t>
      </w:r>
      <w:r w:rsidR="00C939F8" w:rsidRPr="009C1575">
        <w:rPr>
          <w:rFonts w:ascii="Arial Narrow" w:eastAsia="Arial" w:hAnsi="Arial Narrow" w:cs="Arial"/>
          <w:sz w:val="24"/>
          <w:szCs w:val="24"/>
          <w:highlight w:val="white"/>
        </w:rPr>
        <w:t xml:space="preserve">os departamentos con mayor número de sitios no permitidos para botar los desperdicios, para la vigencia de 2016, fueron Bolívar (29), Chocó (25), Magdalena (18), Cauca (14) y Nariño (9). De igual forma, </w:t>
      </w:r>
      <w:r>
        <w:rPr>
          <w:rFonts w:ascii="Arial Narrow" w:eastAsia="Arial" w:hAnsi="Arial Narrow" w:cs="Arial"/>
          <w:sz w:val="24"/>
          <w:szCs w:val="24"/>
          <w:highlight w:val="white"/>
        </w:rPr>
        <w:t>señaló</w:t>
      </w:r>
      <w:r w:rsidR="00C939F8" w:rsidRPr="009C1575">
        <w:rPr>
          <w:rFonts w:ascii="Arial Narrow" w:eastAsia="Arial" w:hAnsi="Arial Narrow" w:cs="Arial"/>
          <w:sz w:val="24"/>
          <w:szCs w:val="24"/>
          <w:highlight w:val="white"/>
        </w:rPr>
        <w:t xml:space="preserve"> que para este mismo periodo</w:t>
      </w:r>
      <w:r w:rsidR="00AA70B4" w:rsidRPr="009C1575">
        <w:rPr>
          <w:rFonts w:ascii="Arial Narrow" w:eastAsia="Arial" w:hAnsi="Arial Narrow" w:cs="Arial"/>
          <w:sz w:val="24"/>
          <w:szCs w:val="24"/>
          <w:highlight w:val="white"/>
        </w:rPr>
        <w:t>,</w:t>
      </w:r>
      <w:r w:rsidR="00C939F8" w:rsidRPr="009C1575">
        <w:rPr>
          <w:rFonts w:ascii="Arial Narrow" w:eastAsia="Arial" w:hAnsi="Arial Narrow" w:cs="Arial"/>
          <w:sz w:val="24"/>
          <w:szCs w:val="24"/>
          <w:highlight w:val="white"/>
        </w:rPr>
        <w:t xml:space="preserve"> </w:t>
      </w:r>
      <w:r w:rsidR="00C939F8" w:rsidRPr="009C1575">
        <w:rPr>
          <w:rFonts w:ascii="Arial Narrow" w:eastAsia="Arial" w:hAnsi="Arial Narrow" w:cs="Arial"/>
          <w:sz w:val="24"/>
          <w:szCs w:val="24"/>
        </w:rPr>
        <w:t xml:space="preserve">267.307 toneladas </w:t>
      </w:r>
      <w:r w:rsidR="00AA70B4" w:rsidRPr="009C1575">
        <w:rPr>
          <w:rFonts w:ascii="Arial Narrow" w:eastAsia="Arial" w:hAnsi="Arial Narrow" w:cs="Arial"/>
          <w:sz w:val="24"/>
          <w:szCs w:val="24"/>
        </w:rPr>
        <w:t>anuales</w:t>
      </w:r>
      <w:r w:rsidR="00C939F8" w:rsidRPr="009C1575">
        <w:rPr>
          <w:rFonts w:ascii="Arial Narrow" w:eastAsia="Arial" w:hAnsi="Arial Narrow" w:cs="Arial"/>
          <w:sz w:val="24"/>
          <w:szCs w:val="24"/>
        </w:rPr>
        <w:t xml:space="preserve"> fueron dispuestas en sistemas inadecuados, lo que acarrea grandes impactos negativos para la comunidad, el medio ambiente y el entorno en general</w:t>
      </w:r>
      <w:r w:rsidR="00AA70B4" w:rsidRPr="009C1575">
        <w:rPr>
          <w:rFonts w:ascii="Arial Narrow" w:eastAsia="Arial" w:hAnsi="Arial Narrow" w:cs="Arial"/>
          <w:sz w:val="24"/>
          <w:szCs w:val="24"/>
        </w:rPr>
        <w:t>.</w:t>
      </w:r>
    </w:p>
    <w:p w:rsidR="00C939F8" w:rsidRPr="009C1575" w:rsidRDefault="00C939F8" w:rsidP="009C1575">
      <w:pPr>
        <w:jc w:val="both"/>
        <w:rPr>
          <w:rFonts w:ascii="Arial Narrow" w:eastAsia="Arial" w:hAnsi="Arial Narrow" w:cs="Arial"/>
          <w:sz w:val="24"/>
          <w:szCs w:val="24"/>
        </w:rPr>
      </w:pPr>
      <w:r w:rsidRPr="009C1575">
        <w:rPr>
          <w:rFonts w:ascii="Arial Narrow" w:eastAsia="Arial" w:hAnsi="Arial Narrow" w:cs="Arial"/>
          <w:sz w:val="24"/>
          <w:szCs w:val="24"/>
          <w:highlight w:val="white"/>
        </w:rPr>
        <w:t xml:space="preserve">Adicional a esto, según el Departamento Nacional de Planeación (DNP), la vida útil del relleno sanitario de 321 municipios del país se terminará en tres años, lo que tendrá enormes impactos ambientales, ya que el país no cuenta con estrategias para asumir este reto. </w:t>
      </w:r>
      <w:r w:rsidRPr="009C1575">
        <w:rPr>
          <w:rFonts w:ascii="Arial Narrow" w:eastAsia="Arial" w:hAnsi="Arial Narrow" w:cs="Arial"/>
          <w:sz w:val="24"/>
          <w:szCs w:val="24"/>
        </w:rPr>
        <w:t>Entre las ciudades, cuyos sitios de disposición final se les agotará su capacidad para recibir residuos se encuentran: Bucaramanga, Armenia, Manizales y Neiva. Para el caso de Bogotá, al relleno sanitario Doña Juana le queda una vida útil de 4 años.</w:t>
      </w:r>
    </w:p>
    <w:p w:rsidR="00C939F8" w:rsidRPr="009C1575" w:rsidRDefault="00C939F8" w:rsidP="009C1575">
      <w:pPr>
        <w:jc w:val="both"/>
        <w:rPr>
          <w:rFonts w:ascii="Arial Narrow" w:eastAsia="Arial" w:hAnsi="Arial Narrow" w:cs="Arial"/>
          <w:sz w:val="24"/>
          <w:szCs w:val="24"/>
        </w:rPr>
      </w:pPr>
      <w:r w:rsidRPr="009C1575">
        <w:rPr>
          <w:rFonts w:ascii="Arial Narrow" w:eastAsia="Arial" w:hAnsi="Arial Narrow" w:cs="Arial"/>
          <w:sz w:val="24"/>
          <w:szCs w:val="24"/>
        </w:rPr>
        <w:t xml:space="preserve">Es de destacar la ausencia de información respecto a la vida útil de los sitios de disposición final inadecuados, debido a su dificultad para el monitoreo. Lo que contrasta fuertemente con la proliferación de los mismos, con esta advertencia </w:t>
      </w:r>
      <w:r w:rsidR="00E44251">
        <w:rPr>
          <w:rFonts w:ascii="Arial Narrow" w:eastAsia="Arial" w:hAnsi="Arial Narrow" w:cs="Arial"/>
          <w:sz w:val="24"/>
          <w:szCs w:val="24"/>
        </w:rPr>
        <w:t xml:space="preserve">el autor relacionó </w:t>
      </w:r>
      <w:r w:rsidRPr="009C1575">
        <w:rPr>
          <w:rFonts w:ascii="Arial Narrow" w:eastAsia="Arial" w:hAnsi="Arial Narrow" w:cs="Arial"/>
          <w:sz w:val="24"/>
          <w:szCs w:val="24"/>
        </w:rPr>
        <w:t xml:space="preserve">los siguientes datos que hacen relación a los sitios de disposición final adecuados: </w:t>
      </w:r>
    </w:p>
    <w:p w:rsidR="00E44251" w:rsidRDefault="00C939F8" w:rsidP="009C1575">
      <w:pPr>
        <w:pStyle w:val="Prrafodelista"/>
        <w:numPr>
          <w:ilvl w:val="0"/>
          <w:numId w:val="26"/>
        </w:numPr>
        <w:jc w:val="both"/>
        <w:rPr>
          <w:rFonts w:ascii="Arial Narrow" w:eastAsia="Arial" w:hAnsi="Arial Narrow" w:cs="Arial"/>
          <w:sz w:val="24"/>
          <w:szCs w:val="24"/>
        </w:rPr>
      </w:pPr>
      <w:r w:rsidRPr="00E44251">
        <w:rPr>
          <w:rFonts w:ascii="Arial Narrow" w:eastAsia="Arial" w:hAnsi="Arial Narrow" w:cs="Arial"/>
          <w:b/>
          <w:sz w:val="24"/>
          <w:szCs w:val="24"/>
        </w:rPr>
        <w:t xml:space="preserve">Relleno Sanitario: </w:t>
      </w:r>
      <w:r w:rsidRPr="00E44251">
        <w:rPr>
          <w:rFonts w:ascii="Arial Narrow" w:eastAsia="Arial" w:hAnsi="Arial Narrow" w:cs="Arial"/>
          <w:sz w:val="24"/>
          <w:szCs w:val="24"/>
        </w:rPr>
        <w:t>57, con vida útil de más de 10 años; 45, vida útil de 3 a 10 años; 24, con una vida útil de 0 a 3 años; 12, ya se encuentran vencidos.</w:t>
      </w:r>
    </w:p>
    <w:p w:rsidR="00E44251" w:rsidRDefault="00C939F8" w:rsidP="009C1575">
      <w:pPr>
        <w:pStyle w:val="Prrafodelista"/>
        <w:numPr>
          <w:ilvl w:val="0"/>
          <w:numId w:val="26"/>
        </w:numPr>
        <w:jc w:val="both"/>
        <w:rPr>
          <w:rFonts w:ascii="Arial Narrow" w:eastAsia="Arial" w:hAnsi="Arial Narrow" w:cs="Arial"/>
          <w:sz w:val="24"/>
          <w:szCs w:val="24"/>
        </w:rPr>
      </w:pPr>
      <w:r w:rsidRPr="00E44251">
        <w:rPr>
          <w:rFonts w:ascii="Arial Narrow" w:eastAsia="Arial" w:hAnsi="Arial Narrow" w:cs="Arial"/>
          <w:b/>
          <w:sz w:val="24"/>
          <w:szCs w:val="24"/>
        </w:rPr>
        <w:t xml:space="preserve">Planta de tratamiento: </w:t>
      </w:r>
      <w:r w:rsidRPr="00E44251">
        <w:rPr>
          <w:rFonts w:ascii="Arial Narrow" w:eastAsia="Arial" w:hAnsi="Arial Narrow" w:cs="Arial"/>
          <w:sz w:val="24"/>
          <w:szCs w:val="24"/>
        </w:rPr>
        <w:t>1, vida útil de más de 10 años; 2, vida útil de 3 a 10 años; 1, con vida útil entre 0 a 3 años.</w:t>
      </w:r>
    </w:p>
    <w:p w:rsidR="00C939F8" w:rsidRPr="00E44251" w:rsidRDefault="00C939F8" w:rsidP="009C1575">
      <w:pPr>
        <w:pStyle w:val="Prrafodelista"/>
        <w:numPr>
          <w:ilvl w:val="0"/>
          <w:numId w:val="26"/>
        </w:numPr>
        <w:jc w:val="both"/>
        <w:rPr>
          <w:rFonts w:ascii="Arial Narrow" w:eastAsia="Arial" w:hAnsi="Arial Narrow" w:cs="Arial"/>
          <w:sz w:val="24"/>
          <w:szCs w:val="24"/>
        </w:rPr>
      </w:pPr>
      <w:r w:rsidRPr="00E44251">
        <w:rPr>
          <w:rFonts w:ascii="Arial Narrow" w:eastAsia="Arial" w:hAnsi="Arial Narrow" w:cs="Arial"/>
          <w:b/>
          <w:sz w:val="24"/>
          <w:szCs w:val="24"/>
        </w:rPr>
        <w:t xml:space="preserve">Celda de Contingencia: </w:t>
      </w:r>
      <w:r w:rsidRPr="00E44251">
        <w:rPr>
          <w:rFonts w:ascii="Arial Narrow" w:eastAsia="Arial" w:hAnsi="Arial Narrow" w:cs="Arial"/>
          <w:sz w:val="24"/>
          <w:szCs w:val="24"/>
        </w:rPr>
        <w:t>6, cuentan con una vida útil de 0 a 3 años; 3 tienen la vida útil vencida</w:t>
      </w:r>
      <w:r w:rsidRPr="009C1575">
        <w:rPr>
          <w:vertAlign w:val="superscript"/>
        </w:rPr>
        <w:footnoteReference w:id="2"/>
      </w:r>
      <w:r w:rsidRPr="00E44251">
        <w:rPr>
          <w:rFonts w:ascii="Arial Narrow" w:eastAsia="Arial" w:hAnsi="Arial Narrow" w:cs="Arial"/>
          <w:sz w:val="24"/>
          <w:szCs w:val="24"/>
        </w:rPr>
        <w:t xml:space="preserve">. </w:t>
      </w:r>
    </w:p>
    <w:p w:rsidR="00C939F8" w:rsidRPr="00C5482E" w:rsidRDefault="00C939F8" w:rsidP="00C939F8">
      <w:pPr>
        <w:spacing w:line="360" w:lineRule="auto"/>
        <w:jc w:val="both"/>
        <w:rPr>
          <w:rFonts w:ascii="Arial" w:eastAsia="Arial" w:hAnsi="Arial" w:cs="Arial"/>
        </w:rPr>
      </w:pPr>
    </w:p>
    <w:p w:rsidR="00C939F8" w:rsidRPr="009C1575" w:rsidRDefault="00C939F8" w:rsidP="009C1575">
      <w:pPr>
        <w:spacing w:after="0"/>
        <w:jc w:val="center"/>
        <w:rPr>
          <w:rFonts w:ascii="Arial" w:eastAsia="Arial" w:hAnsi="Arial" w:cs="Arial"/>
          <w:b/>
          <w:sz w:val="18"/>
        </w:rPr>
      </w:pPr>
      <w:r w:rsidRPr="009C1575">
        <w:rPr>
          <w:rFonts w:ascii="Arial" w:eastAsia="Arial" w:hAnsi="Arial" w:cs="Arial"/>
          <w:b/>
          <w:noProof/>
          <w:sz w:val="18"/>
          <w:lang w:eastAsia="es-CO"/>
        </w:rPr>
        <w:lastRenderedPageBreak/>
        <w:drawing>
          <wp:inline distT="0" distB="0" distL="0" distR="0" wp14:anchorId="3DBDF01D" wp14:editId="3AB14FB8">
            <wp:extent cx="4762826" cy="5870575"/>
            <wp:effectExtent l="0" t="0" r="0" b="0"/>
            <wp:docPr id="4" name="image7.jpg" descr="H:\Congreso\Trabajo\Investigaciones\Rellenos Sanitarios\INFORME+Nacional+2016+Disposicion+Final+de+Residuos+Solidos+(1)-067.jpg"/>
            <wp:cNvGraphicFramePr/>
            <a:graphic xmlns:a="http://schemas.openxmlformats.org/drawingml/2006/main">
              <a:graphicData uri="http://schemas.openxmlformats.org/drawingml/2006/picture">
                <pic:pic xmlns:pic="http://schemas.openxmlformats.org/drawingml/2006/picture">
                  <pic:nvPicPr>
                    <pic:cNvPr id="0" name="image7.jpg" descr="H:\Congreso\Trabajo\Investigaciones\Rellenos Sanitarios\INFORME+Nacional+2016+Disposicion+Final+de+Residuos+Solidos+(1)-067.jpg"/>
                    <pic:cNvPicPr preferRelativeResize="0"/>
                  </pic:nvPicPr>
                  <pic:blipFill>
                    <a:blip r:embed="rId10"/>
                    <a:srcRect/>
                    <a:stretch>
                      <a:fillRect/>
                    </a:stretch>
                  </pic:blipFill>
                  <pic:spPr>
                    <a:xfrm>
                      <a:off x="0" y="0"/>
                      <a:ext cx="4769141" cy="5878359"/>
                    </a:xfrm>
                    <a:prstGeom prst="rect">
                      <a:avLst/>
                    </a:prstGeom>
                    <a:ln/>
                  </pic:spPr>
                </pic:pic>
              </a:graphicData>
            </a:graphic>
          </wp:inline>
        </w:drawing>
      </w:r>
    </w:p>
    <w:p w:rsidR="00C939F8" w:rsidRPr="00E44251" w:rsidRDefault="009C1575" w:rsidP="009C1575">
      <w:pPr>
        <w:spacing w:after="0"/>
        <w:jc w:val="center"/>
        <w:rPr>
          <w:rFonts w:ascii="Arial Narrow" w:eastAsia="Arial" w:hAnsi="Arial Narrow" w:cs="Arial"/>
          <w:b/>
          <w:sz w:val="20"/>
          <w:szCs w:val="20"/>
        </w:rPr>
      </w:pPr>
      <w:r w:rsidRPr="00E44251">
        <w:rPr>
          <w:rFonts w:ascii="Arial Narrow" w:eastAsia="Arial" w:hAnsi="Arial Narrow" w:cs="Arial"/>
          <w:b/>
          <w:i/>
          <w:sz w:val="20"/>
          <w:szCs w:val="20"/>
        </w:rPr>
        <w:t>Figura 3</w:t>
      </w:r>
      <w:r w:rsidR="00C939F8" w:rsidRPr="00E44251">
        <w:rPr>
          <w:rFonts w:ascii="Arial Narrow" w:eastAsia="Arial" w:hAnsi="Arial Narrow" w:cs="Arial"/>
          <w:b/>
          <w:i/>
          <w:sz w:val="20"/>
          <w:szCs w:val="20"/>
        </w:rPr>
        <w:t xml:space="preserve">. </w:t>
      </w:r>
      <w:r w:rsidR="00C939F8" w:rsidRPr="00E44251">
        <w:rPr>
          <w:rFonts w:ascii="Arial Narrow" w:eastAsia="Arial" w:hAnsi="Arial Narrow" w:cs="Arial"/>
          <w:b/>
          <w:sz w:val="20"/>
          <w:szCs w:val="20"/>
        </w:rPr>
        <w:t>Vida útil de los sitios de disposición final.</w:t>
      </w:r>
    </w:p>
    <w:p w:rsidR="00C939F8" w:rsidRPr="00E44251" w:rsidRDefault="00C939F8" w:rsidP="009C1575">
      <w:pPr>
        <w:spacing w:after="0"/>
        <w:jc w:val="center"/>
        <w:rPr>
          <w:rFonts w:ascii="Arial Narrow" w:eastAsia="Arial" w:hAnsi="Arial Narrow" w:cs="Arial"/>
          <w:b/>
          <w:sz w:val="20"/>
          <w:szCs w:val="20"/>
        </w:rPr>
      </w:pPr>
      <w:r w:rsidRPr="00E44251">
        <w:rPr>
          <w:rFonts w:ascii="Arial Narrow" w:eastAsia="Arial" w:hAnsi="Arial Narrow" w:cs="Arial"/>
          <w:b/>
          <w:sz w:val="20"/>
          <w:szCs w:val="20"/>
        </w:rPr>
        <w:t xml:space="preserve">Fuente: Superservicios y DNP. </w:t>
      </w:r>
      <w:r w:rsidRPr="00E44251">
        <w:rPr>
          <w:rFonts w:ascii="Arial Narrow" w:eastAsia="Arial" w:hAnsi="Arial Narrow" w:cs="Arial"/>
          <w:b/>
          <w:i/>
          <w:sz w:val="20"/>
          <w:szCs w:val="20"/>
        </w:rPr>
        <w:t>Disposición Final de Residuos Sólidos 2016</w:t>
      </w:r>
    </w:p>
    <w:p w:rsidR="009C1575" w:rsidRDefault="009C1575" w:rsidP="00C939F8">
      <w:pPr>
        <w:pBdr>
          <w:top w:val="nil"/>
          <w:left w:val="nil"/>
          <w:bottom w:val="nil"/>
          <w:right w:val="nil"/>
          <w:between w:val="nil"/>
        </w:pBdr>
        <w:spacing w:after="0" w:line="360" w:lineRule="auto"/>
        <w:jc w:val="both"/>
        <w:rPr>
          <w:rFonts w:ascii="Arial" w:eastAsia="Arial" w:hAnsi="Arial" w:cs="Arial"/>
          <w:color w:val="000000"/>
          <w:highlight w:val="white"/>
        </w:rPr>
      </w:pPr>
    </w:p>
    <w:p w:rsidR="00C939F8" w:rsidRPr="009C1575" w:rsidRDefault="00C939F8" w:rsidP="007E39BA">
      <w:pPr>
        <w:pBdr>
          <w:top w:val="nil"/>
          <w:left w:val="nil"/>
          <w:bottom w:val="nil"/>
          <w:right w:val="nil"/>
          <w:between w:val="nil"/>
        </w:pBdr>
        <w:spacing w:after="0"/>
        <w:jc w:val="both"/>
        <w:rPr>
          <w:rFonts w:ascii="Arial Narrow" w:eastAsia="Arial" w:hAnsi="Arial Narrow" w:cs="Arial"/>
          <w:color w:val="000000"/>
          <w:sz w:val="24"/>
          <w:szCs w:val="24"/>
          <w:highlight w:val="white"/>
        </w:rPr>
      </w:pPr>
      <w:r w:rsidRPr="009C1575">
        <w:rPr>
          <w:rFonts w:ascii="Arial Narrow" w:eastAsia="Arial" w:hAnsi="Arial Narrow" w:cs="Arial"/>
          <w:color w:val="000000"/>
          <w:sz w:val="24"/>
          <w:szCs w:val="24"/>
          <w:highlight w:val="white"/>
        </w:rPr>
        <w:t>En esta materia existe un gran reto para Colombia; según el Ministerio de Ambiente y Desarrollo Sostenible, Colombia genera 11,6 millones de toneladas de residuos al año, aproximadamente 31 mil toneladas al día, de las cuales solo se recicla en promedio un 17%, en países de la Unión Europea este porcentaje llega hasta el 67% de los residuos. La meta que el Departamento Nacional de Planeación (DNP) ha propuesto a corte de 2018 es del 20%.</w:t>
      </w:r>
    </w:p>
    <w:p w:rsidR="00C939F8" w:rsidRPr="009C1575" w:rsidRDefault="00C939F8" w:rsidP="00C939F8">
      <w:pPr>
        <w:spacing w:line="360" w:lineRule="auto"/>
        <w:jc w:val="both"/>
        <w:rPr>
          <w:rFonts w:ascii="Arial Narrow" w:eastAsia="Arial" w:hAnsi="Arial Narrow" w:cs="Arial"/>
          <w:color w:val="000000"/>
          <w:sz w:val="24"/>
          <w:szCs w:val="24"/>
        </w:rPr>
      </w:pPr>
    </w:p>
    <w:p w:rsidR="00C939F8" w:rsidRPr="00C5482E" w:rsidRDefault="00C939F8" w:rsidP="007E39BA">
      <w:pPr>
        <w:jc w:val="both"/>
        <w:rPr>
          <w:rFonts w:ascii="Arial" w:eastAsia="Arial" w:hAnsi="Arial" w:cs="Arial"/>
        </w:rPr>
      </w:pPr>
      <w:r w:rsidRPr="009C1575">
        <w:rPr>
          <w:rFonts w:ascii="Arial Narrow" w:eastAsia="Arial" w:hAnsi="Arial Narrow" w:cs="Arial"/>
          <w:sz w:val="24"/>
          <w:szCs w:val="24"/>
        </w:rPr>
        <w:t>Según el Departamento Nacional de Planeación y la Superintendencia de Servicios Públicos (2016), en su informe sobre “</w:t>
      </w:r>
      <w:r w:rsidRPr="009C1575">
        <w:rPr>
          <w:rFonts w:ascii="Arial Narrow" w:eastAsia="Arial" w:hAnsi="Arial Narrow" w:cs="Arial"/>
          <w:i/>
          <w:sz w:val="24"/>
          <w:szCs w:val="24"/>
        </w:rPr>
        <w:t xml:space="preserve">La disposición Final de Residuos Sólidos”, </w:t>
      </w:r>
      <w:r w:rsidRPr="009C1575">
        <w:rPr>
          <w:rFonts w:ascii="Arial Narrow" w:eastAsia="Arial" w:hAnsi="Arial Narrow" w:cs="Arial"/>
          <w:sz w:val="24"/>
          <w:szCs w:val="24"/>
        </w:rPr>
        <w:t>el 55% de las toneladas de residuos dispuestas en Colombia se concentran en 3 departamentos y el distrito capital (</w:t>
      </w:r>
      <w:r w:rsidRPr="009C1575">
        <w:rPr>
          <w:rFonts w:ascii="Arial Narrow" w:eastAsia="Arial" w:hAnsi="Arial Narrow" w:cs="Arial"/>
          <w:i/>
          <w:sz w:val="24"/>
          <w:szCs w:val="24"/>
        </w:rPr>
        <w:t>Figura 3</w:t>
      </w:r>
      <w:r w:rsidRPr="009C1575">
        <w:rPr>
          <w:rFonts w:ascii="Arial Narrow" w:eastAsia="Arial" w:hAnsi="Arial Narrow" w:cs="Arial"/>
          <w:sz w:val="24"/>
          <w:szCs w:val="24"/>
        </w:rPr>
        <w:t>); Bogotá, D.C. (2,175,203 ton/año, 19.25%), Antioquia (1,951,607 ton/año, 17.27%), Valle del Cauca (1,274,047 ton/año, 11.27%) y Atlántico (812,698 ton/año, 7.19%). Adicionalmente, las 11,6 toneladas anuales que se dispusieron se distribuyen según el tipo de sistema, de la siguiente ma</w:t>
      </w:r>
      <w:r w:rsidR="006D6267">
        <w:rPr>
          <w:rFonts w:ascii="Arial Narrow" w:eastAsia="Arial" w:hAnsi="Arial Narrow" w:cs="Arial"/>
          <w:sz w:val="24"/>
          <w:szCs w:val="24"/>
        </w:rPr>
        <w:t>nera de mayor a menor: relleno s</w:t>
      </w:r>
      <w:r w:rsidRPr="009C1575">
        <w:rPr>
          <w:rFonts w:ascii="Arial Narrow" w:eastAsia="Arial" w:hAnsi="Arial Narrow" w:cs="Arial"/>
          <w:sz w:val="24"/>
          <w:szCs w:val="24"/>
        </w:rPr>
        <w:t>anitario (10,904,459 ton/año, 96.49%); celda transitoria (146,829 ton/año, 1.30%); celda de contingencia (109,419 ton/año, 0.97%); botadero a cielo abierto (103,884 ton/año, 0.92%); planta de tratamiento (18,589 ton/año, 0.16%); enterramiento (15,274 ton/año, 0.14%); quema (1,320 ton/año, 0.01%); sin información (1,021 ton/año, 0.01%).</w:t>
      </w:r>
    </w:p>
    <w:p w:rsidR="00C939F8" w:rsidRPr="006D6267" w:rsidRDefault="00C939F8" w:rsidP="006D6267">
      <w:pPr>
        <w:spacing w:after="0" w:line="360" w:lineRule="auto"/>
        <w:jc w:val="center"/>
        <w:rPr>
          <w:rFonts w:ascii="Arial Narrow" w:eastAsia="Arial" w:hAnsi="Arial Narrow" w:cs="Arial"/>
          <w:b/>
          <w:sz w:val="20"/>
          <w:szCs w:val="20"/>
        </w:rPr>
      </w:pPr>
      <w:r w:rsidRPr="006D6267">
        <w:rPr>
          <w:rFonts w:ascii="Arial Narrow" w:eastAsia="Arial" w:hAnsi="Arial Narrow" w:cs="Arial"/>
          <w:b/>
          <w:noProof/>
          <w:sz w:val="20"/>
          <w:szCs w:val="20"/>
          <w:lang w:eastAsia="es-CO"/>
        </w:rPr>
        <w:drawing>
          <wp:inline distT="0" distB="0" distL="0" distR="0" wp14:anchorId="370851F5" wp14:editId="553CF932">
            <wp:extent cx="4867275" cy="3971925"/>
            <wp:effectExtent l="0" t="0" r="9525" b="9525"/>
            <wp:docPr id="5" name="image10.png" descr="C:\Users\erika.corzo\Pictures\Captura.PNG"/>
            <wp:cNvGraphicFramePr/>
            <a:graphic xmlns:a="http://schemas.openxmlformats.org/drawingml/2006/main">
              <a:graphicData uri="http://schemas.openxmlformats.org/drawingml/2006/picture">
                <pic:pic xmlns:pic="http://schemas.openxmlformats.org/drawingml/2006/picture">
                  <pic:nvPicPr>
                    <pic:cNvPr id="0" name="image10.png" descr="C:\Users\erika.corzo\Pictures\Captura.PNG"/>
                    <pic:cNvPicPr preferRelativeResize="0"/>
                  </pic:nvPicPr>
                  <pic:blipFill>
                    <a:blip r:embed="rId11"/>
                    <a:srcRect/>
                    <a:stretch>
                      <a:fillRect/>
                    </a:stretch>
                  </pic:blipFill>
                  <pic:spPr>
                    <a:xfrm>
                      <a:off x="0" y="0"/>
                      <a:ext cx="4867275" cy="3971925"/>
                    </a:xfrm>
                    <a:prstGeom prst="rect">
                      <a:avLst/>
                    </a:prstGeom>
                    <a:ln/>
                  </pic:spPr>
                </pic:pic>
              </a:graphicData>
            </a:graphic>
          </wp:inline>
        </w:drawing>
      </w:r>
    </w:p>
    <w:p w:rsidR="006D6267" w:rsidRPr="006D6267" w:rsidRDefault="006D6267" w:rsidP="006D6267">
      <w:pPr>
        <w:spacing w:after="0"/>
        <w:jc w:val="center"/>
        <w:rPr>
          <w:rFonts w:ascii="Arial Narrow" w:eastAsia="Arial" w:hAnsi="Arial Narrow" w:cs="Arial"/>
          <w:b/>
          <w:sz w:val="20"/>
          <w:szCs w:val="20"/>
        </w:rPr>
      </w:pPr>
      <w:r w:rsidRPr="006D6267">
        <w:rPr>
          <w:rFonts w:ascii="Arial Narrow" w:eastAsia="Arial" w:hAnsi="Arial Narrow" w:cs="Arial"/>
          <w:b/>
          <w:i/>
          <w:sz w:val="20"/>
          <w:szCs w:val="20"/>
        </w:rPr>
        <w:t xml:space="preserve">Figura 3. </w:t>
      </w:r>
      <w:r w:rsidRPr="006D6267">
        <w:rPr>
          <w:rFonts w:ascii="Arial Narrow" w:eastAsia="Arial" w:hAnsi="Arial Narrow" w:cs="Arial"/>
          <w:b/>
          <w:sz w:val="20"/>
          <w:szCs w:val="20"/>
        </w:rPr>
        <w:t>Número de toneladas de residuos en el año 2016 por departamento.</w:t>
      </w:r>
    </w:p>
    <w:p w:rsidR="006D6267" w:rsidRPr="006D6267" w:rsidRDefault="006D6267" w:rsidP="006D6267">
      <w:pPr>
        <w:spacing w:after="0" w:line="360" w:lineRule="auto"/>
        <w:jc w:val="center"/>
        <w:rPr>
          <w:rFonts w:ascii="Arial Narrow" w:eastAsia="Arial" w:hAnsi="Arial Narrow" w:cs="Arial"/>
          <w:b/>
          <w:sz w:val="20"/>
          <w:szCs w:val="20"/>
        </w:rPr>
      </w:pPr>
      <w:r w:rsidRPr="006D6267">
        <w:rPr>
          <w:rFonts w:ascii="Arial Narrow" w:eastAsia="Arial" w:hAnsi="Arial Narrow" w:cs="Arial"/>
          <w:b/>
          <w:sz w:val="20"/>
          <w:szCs w:val="20"/>
        </w:rPr>
        <w:t>Fuente</w:t>
      </w:r>
      <w:r>
        <w:rPr>
          <w:rFonts w:ascii="Arial Narrow" w:eastAsia="Arial" w:hAnsi="Arial Narrow" w:cs="Arial"/>
          <w:b/>
          <w:sz w:val="20"/>
          <w:szCs w:val="20"/>
        </w:rPr>
        <w:t>: S</w:t>
      </w:r>
      <w:r w:rsidRPr="006D6267">
        <w:rPr>
          <w:rFonts w:ascii="Arial Narrow" w:eastAsia="Arial" w:hAnsi="Arial Narrow" w:cs="Arial"/>
          <w:b/>
          <w:sz w:val="20"/>
          <w:szCs w:val="20"/>
        </w:rPr>
        <w:t>uperservicios y DNP. Disposición final de residuos sólidos 2016.</w:t>
      </w:r>
    </w:p>
    <w:p w:rsidR="006D6267" w:rsidRDefault="006D6267" w:rsidP="00C939F8">
      <w:pPr>
        <w:spacing w:line="360" w:lineRule="auto"/>
        <w:jc w:val="both"/>
        <w:rPr>
          <w:rFonts w:ascii="Arial Narrow" w:eastAsia="Arial" w:hAnsi="Arial Narrow" w:cs="Arial"/>
          <w:b/>
          <w:sz w:val="24"/>
          <w:szCs w:val="24"/>
        </w:rPr>
      </w:pPr>
    </w:p>
    <w:p w:rsidR="006D6267" w:rsidRDefault="006D6267" w:rsidP="00C939F8">
      <w:pPr>
        <w:spacing w:line="360" w:lineRule="auto"/>
        <w:jc w:val="both"/>
        <w:rPr>
          <w:rFonts w:ascii="Arial Narrow" w:eastAsia="Arial" w:hAnsi="Arial Narrow" w:cs="Arial"/>
          <w:b/>
          <w:sz w:val="24"/>
          <w:szCs w:val="24"/>
        </w:rPr>
      </w:pPr>
    </w:p>
    <w:p w:rsidR="00C939F8" w:rsidRPr="009C1575" w:rsidRDefault="00C939F8" w:rsidP="00C939F8">
      <w:pPr>
        <w:spacing w:line="360" w:lineRule="auto"/>
        <w:jc w:val="both"/>
        <w:rPr>
          <w:rFonts w:ascii="Arial Narrow" w:eastAsia="Arial" w:hAnsi="Arial Narrow" w:cs="Arial"/>
          <w:b/>
          <w:sz w:val="24"/>
          <w:szCs w:val="24"/>
        </w:rPr>
      </w:pPr>
      <w:r w:rsidRPr="009C1575">
        <w:rPr>
          <w:rFonts w:ascii="Arial Narrow" w:eastAsia="Arial" w:hAnsi="Arial Narrow" w:cs="Arial"/>
          <w:b/>
          <w:sz w:val="24"/>
          <w:szCs w:val="24"/>
        </w:rPr>
        <w:lastRenderedPageBreak/>
        <w:t>INSPECCION, VIGILANCIA Y CONTROL</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En</w:t>
      </w:r>
      <w:r w:rsidRPr="009C1575">
        <w:rPr>
          <w:rFonts w:ascii="Arial Narrow" w:eastAsia="Arial" w:hAnsi="Arial Narrow" w:cs="Arial"/>
          <w:b/>
          <w:sz w:val="24"/>
          <w:szCs w:val="24"/>
        </w:rPr>
        <w:t xml:space="preserve"> </w:t>
      </w:r>
      <w:r w:rsidRPr="009C1575">
        <w:rPr>
          <w:rFonts w:ascii="Arial Narrow" w:eastAsia="Arial" w:hAnsi="Arial Narrow" w:cs="Arial"/>
          <w:sz w:val="24"/>
          <w:szCs w:val="24"/>
        </w:rPr>
        <w:t>el cuadro relacionado a continuación</w:t>
      </w:r>
      <w:r w:rsidR="006D6267">
        <w:rPr>
          <w:rFonts w:ascii="Arial Narrow" w:eastAsia="Arial" w:hAnsi="Arial Narrow" w:cs="Arial"/>
          <w:sz w:val="24"/>
          <w:szCs w:val="24"/>
        </w:rPr>
        <w:t xml:space="preserve">, el autor </w:t>
      </w:r>
      <w:r w:rsidRPr="009C1575">
        <w:rPr>
          <w:rFonts w:ascii="Arial Narrow" w:eastAsia="Arial" w:hAnsi="Arial Narrow" w:cs="Arial"/>
          <w:sz w:val="24"/>
          <w:szCs w:val="24"/>
        </w:rPr>
        <w:t xml:space="preserve">explica de forma gráfica el grado de cumplimiento de los requisitos ambientales de diferentes formas de disposición final. Donde el 0 corresponde a una falta de conformidad, acompañado por una casilla roja.   </w:t>
      </w:r>
    </w:p>
    <w:p w:rsidR="00C939F8" w:rsidRPr="009C1575" w:rsidRDefault="00C939F8" w:rsidP="007E39BA">
      <w:pPr>
        <w:spacing w:after="0" w:line="360" w:lineRule="auto"/>
        <w:jc w:val="both"/>
        <w:rPr>
          <w:rFonts w:ascii="Arial Narrow" w:eastAsia="Arial" w:hAnsi="Arial Narrow" w:cs="Arial"/>
          <w:sz w:val="24"/>
          <w:szCs w:val="24"/>
        </w:rPr>
      </w:pPr>
      <w:r w:rsidRPr="009C1575">
        <w:rPr>
          <w:rFonts w:ascii="Arial Narrow" w:eastAsia="Arial" w:hAnsi="Arial Narrow" w:cs="Arial"/>
          <w:noProof/>
          <w:sz w:val="24"/>
          <w:szCs w:val="24"/>
          <w:lang w:eastAsia="es-CO"/>
        </w:rPr>
        <w:drawing>
          <wp:inline distT="0" distB="0" distL="0" distR="0" wp14:anchorId="1F30E129" wp14:editId="313AAE3F">
            <wp:extent cx="5612130" cy="2904490"/>
            <wp:effectExtent l="0" t="0" r="0" b="0"/>
            <wp:docPr id="6"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2"/>
                    <a:srcRect/>
                    <a:stretch>
                      <a:fillRect/>
                    </a:stretch>
                  </pic:blipFill>
                  <pic:spPr>
                    <a:xfrm>
                      <a:off x="0" y="0"/>
                      <a:ext cx="5612130" cy="2904490"/>
                    </a:xfrm>
                    <a:prstGeom prst="rect">
                      <a:avLst/>
                    </a:prstGeom>
                    <a:ln/>
                  </pic:spPr>
                </pic:pic>
              </a:graphicData>
            </a:graphic>
          </wp:inline>
        </w:drawing>
      </w:r>
    </w:p>
    <w:p w:rsidR="00C939F8" w:rsidRPr="007E39BA" w:rsidRDefault="00C939F8" w:rsidP="007E39BA">
      <w:pPr>
        <w:spacing w:after="0" w:line="360" w:lineRule="auto"/>
        <w:jc w:val="center"/>
        <w:rPr>
          <w:rFonts w:ascii="Arial Narrow" w:eastAsia="Arial" w:hAnsi="Arial Narrow" w:cs="Arial"/>
          <w:sz w:val="20"/>
          <w:szCs w:val="24"/>
        </w:rPr>
      </w:pPr>
      <w:r w:rsidRPr="007E39BA">
        <w:rPr>
          <w:rFonts w:ascii="Arial Narrow" w:eastAsia="Arial" w:hAnsi="Arial Narrow" w:cs="Arial"/>
          <w:b/>
          <w:sz w:val="20"/>
          <w:szCs w:val="24"/>
        </w:rPr>
        <w:t>Tabla. Desempeño de los sitios de disposición final</w:t>
      </w:r>
    </w:p>
    <w:p w:rsidR="007E39BA" w:rsidRDefault="007E39BA" w:rsidP="007E39BA">
      <w:pPr>
        <w:spacing w:after="0" w:line="360" w:lineRule="auto"/>
        <w:jc w:val="both"/>
        <w:rPr>
          <w:rFonts w:ascii="Arial Narrow" w:eastAsia="Arial" w:hAnsi="Arial Narrow" w:cs="Arial"/>
          <w:i/>
          <w:sz w:val="24"/>
          <w:szCs w:val="24"/>
        </w:rPr>
      </w:pPr>
    </w:p>
    <w:p w:rsidR="00C939F8" w:rsidRPr="009C1575" w:rsidRDefault="00C939F8" w:rsidP="007E39BA">
      <w:pPr>
        <w:jc w:val="both"/>
        <w:rPr>
          <w:rFonts w:ascii="Arial Narrow" w:eastAsia="Arial" w:hAnsi="Arial Narrow" w:cs="Arial"/>
          <w:i/>
          <w:sz w:val="24"/>
          <w:szCs w:val="24"/>
        </w:rPr>
      </w:pPr>
      <w:r w:rsidRPr="009C1575">
        <w:rPr>
          <w:rFonts w:ascii="Arial Narrow" w:eastAsia="Arial" w:hAnsi="Arial Narrow" w:cs="Arial"/>
          <w:i/>
          <w:sz w:val="24"/>
          <w:szCs w:val="24"/>
        </w:rPr>
        <w:t>“Una vez realizada la evaluación de cada uno de los sitios respecto a: Criterio 2E.1- Grado de control sobre la recepción de los residuos y manejo general del sitio, Criterio 2E.2 - Grado de control sobre el tratamiento y eliminación de residuos, y Criterio 2E.3 - Grado de monitoreo y verificación de controles ambientales; se observa que, de los 13 sitios caracterizados, ninguno presenta un desempeño “alto”. Asimismo, se evidenció que los rellenos sanitarios obtienen una categoría parcial de “medio”; mientras que, los dos tipos de celdas obtiene un desempeño “bajo” y los botaderos a cielo abierto “deficiente”. Se resalta que el desempeño global de la muestra cae en un rango “bajo”. Frente a esta última afirmación se debe tener presente que la muestra no representa el universo completo del país y que este puntaje se ve afectado al contar con la presencia de 5 sitios no adecuados de disposición.</w:t>
      </w:r>
    </w:p>
    <w:p w:rsidR="00C939F8" w:rsidRPr="009C1575" w:rsidRDefault="00C939F8" w:rsidP="007E39BA">
      <w:pPr>
        <w:jc w:val="both"/>
        <w:rPr>
          <w:rFonts w:ascii="Arial Narrow" w:eastAsia="Arial" w:hAnsi="Arial Narrow" w:cs="Arial"/>
          <w:i/>
          <w:sz w:val="24"/>
          <w:szCs w:val="24"/>
        </w:rPr>
      </w:pPr>
      <w:r w:rsidRPr="009C1575">
        <w:rPr>
          <w:rFonts w:ascii="Arial Narrow" w:eastAsia="Arial" w:hAnsi="Arial Narrow" w:cs="Arial"/>
          <w:sz w:val="24"/>
          <w:szCs w:val="24"/>
        </w:rPr>
        <w:t>Una de las conclusiones centrales que arroja este balance, se expresa de la siguiente manera;</w:t>
      </w:r>
      <w:r w:rsidRPr="009C1575">
        <w:rPr>
          <w:rFonts w:ascii="Arial Narrow" w:eastAsia="Arial" w:hAnsi="Arial Narrow" w:cs="Arial"/>
          <w:i/>
          <w:sz w:val="24"/>
          <w:szCs w:val="24"/>
        </w:rPr>
        <w:t xml:space="preserve"> “se hace necesario realizar una mayor gestión en los municipios donde se encuentran los sistemas </w:t>
      </w:r>
      <w:r w:rsidRPr="009C1575">
        <w:rPr>
          <w:rFonts w:ascii="Arial Narrow" w:eastAsia="Arial" w:hAnsi="Arial Narrow" w:cs="Arial"/>
          <w:i/>
          <w:sz w:val="24"/>
          <w:szCs w:val="24"/>
        </w:rPr>
        <w:lastRenderedPageBreak/>
        <w:t xml:space="preserve">inadecuados, para que migren lo antes posible a tecnologías donde se dispongan los residuos técnicamente, minimizando las externalidades negativas de la disposición final.” </w:t>
      </w:r>
      <w:r w:rsidRPr="009C1575">
        <w:rPr>
          <w:rFonts w:ascii="Arial Narrow" w:eastAsia="Arial" w:hAnsi="Arial Narrow" w:cs="Arial"/>
          <w:i/>
          <w:sz w:val="24"/>
          <w:szCs w:val="24"/>
          <w:vertAlign w:val="superscript"/>
        </w:rPr>
        <w:footnoteReference w:id="3"/>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 xml:space="preserve">Esta recomendación recoge los lineamentos presentados en </w:t>
      </w:r>
      <w:r w:rsidR="006D6267">
        <w:rPr>
          <w:rFonts w:ascii="Arial Narrow" w:eastAsia="Arial" w:hAnsi="Arial Narrow" w:cs="Arial"/>
          <w:sz w:val="24"/>
          <w:szCs w:val="24"/>
        </w:rPr>
        <w:t>el documento CONPES 2750 DE 199, b</w:t>
      </w:r>
      <w:r w:rsidRPr="009C1575">
        <w:rPr>
          <w:rFonts w:ascii="Arial Narrow" w:eastAsia="Arial" w:hAnsi="Arial Narrow" w:cs="Arial"/>
          <w:sz w:val="24"/>
          <w:szCs w:val="24"/>
        </w:rPr>
        <w:t xml:space="preserve">ajo la premisa de que se establecerían sistemas de control y monitoreo a </w:t>
      </w:r>
      <w:r w:rsidRPr="009C1575">
        <w:rPr>
          <w:rFonts w:ascii="Arial Narrow" w:eastAsia="Arial" w:hAnsi="Arial Narrow" w:cs="Arial"/>
          <w:i/>
          <w:sz w:val="24"/>
          <w:szCs w:val="24"/>
        </w:rPr>
        <w:t>“los estándares mínimos de calidad para manejo de residuos sólidos y peligrosos, emisiones atmosféricas, ruido y vertimiento de aguas residuales. Se promoverá un programa nacional de manejo de residuos sólidos y reciclaje, que comprometa la participación de los municipios, el sector productivo y la sociedad civil, involucrando soluciones para toda la cadena de producción, distribución y disposición final de basuras, incluyendo rellenos sanitarios y sistemas para el manejo de residuos peligrosos. Se respaldarán las “Empresas Comunitarias de Aseo y Reciclaje” en los programas de recolección y reciclaje de basuras. Para el Control de la Contaminación Sonora, el Ministerio del Medio Ambiente adelantará una campaña masiva de educación para prevenir el ruido de los grandes centros urbanos”.</w:t>
      </w:r>
    </w:p>
    <w:p w:rsidR="00C939F8" w:rsidRPr="009C1575" w:rsidRDefault="006D6267" w:rsidP="007E39BA">
      <w:pPr>
        <w:jc w:val="both"/>
        <w:rPr>
          <w:rFonts w:ascii="Arial Narrow" w:eastAsia="Arial" w:hAnsi="Arial Narrow" w:cs="Arial"/>
          <w:sz w:val="24"/>
          <w:szCs w:val="24"/>
        </w:rPr>
      </w:pPr>
      <w:r>
        <w:rPr>
          <w:rFonts w:ascii="Arial Narrow" w:eastAsia="Arial" w:hAnsi="Arial Narrow" w:cs="Arial"/>
          <w:sz w:val="24"/>
          <w:szCs w:val="24"/>
        </w:rPr>
        <w:t>Argumenta el H.R. Fabián Díaz Plata que e</w:t>
      </w:r>
      <w:r w:rsidR="00C939F8" w:rsidRPr="009C1575">
        <w:rPr>
          <w:rFonts w:ascii="Arial Narrow" w:eastAsia="Arial" w:hAnsi="Arial Narrow" w:cs="Arial"/>
          <w:sz w:val="24"/>
          <w:szCs w:val="24"/>
        </w:rPr>
        <w:t>s importante tener presente que la recomendación anterior se estructura en el año 2016 mientras el documento CONPES es de 1994, y que, si bien se ha promulgado nueva normatividad en el interregno, la falta de apoyo del orden nacional ha dificultado las acciones de intervención técnica lo que ha repercutido en el aumento de los sitios de disposición final que no cumplen requisitos mínimos para operar, y que ante el declive de la vida útil de los sitios de disposición adecuada contribuyen a la proliferación de estos espacios inadecuados.</w:t>
      </w:r>
    </w:p>
    <w:p w:rsidR="00C939F8" w:rsidRPr="009C1575" w:rsidRDefault="00C939F8" w:rsidP="007E39BA">
      <w:pPr>
        <w:jc w:val="both"/>
        <w:rPr>
          <w:rFonts w:ascii="Arial Narrow" w:eastAsia="Arial" w:hAnsi="Arial Narrow" w:cs="Arial"/>
          <w:i/>
          <w:sz w:val="24"/>
          <w:szCs w:val="24"/>
        </w:rPr>
      </w:pPr>
      <w:r w:rsidRPr="009C1575">
        <w:rPr>
          <w:rFonts w:ascii="Arial Narrow" w:eastAsia="Arial" w:hAnsi="Arial Narrow" w:cs="Arial"/>
          <w:sz w:val="24"/>
          <w:szCs w:val="24"/>
        </w:rPr>
        <w:t xml:space="preserve">Este retraso en el desarrollo y aplicación de nuevas tecnologías no ha sido exclusivo de las pequeñas ciudades, la política para la gestión integral de residuos de la ciudad de Bogotá del año 1998 consigna  que  </w:t>
      </w:r>
      <w:r w:rsidRPr="009C1575">
        <w:rPr>
          <w:rFonts w:ascii="Arial Narrow" w:eastAsia="Arial" w:hAnsi="Arial Narrow" w:cs="Arial"/>
          <w:i/>
          <w:sz w:val="24"/>
          <w:szCs w:val="24"/>
        </w:rPr>
        <w:t>“El enfoque de la gestión de los residuos sólidos no debe orientarse a establecer rellenos sanitarios si no a establecer y utilizar sistemas de eliminación de residuos o de tratamiento que reduzcan su cantidad y peligrosidad , y así evite o disminuya el uso del espacio disponible en los rellenos sanitarios y el riesgo de contaminación que puede generarse en el futuro debido a las reacciones bioquímicas de los materiales dispuestos en los rellenos”</w:t>
      </w:r>
    </w:p>
    <w:p w:rsidR="00C939F8" w:rsidRPr="009C1575" w:rsidRDefault="006D6267" w:rsidP="007E39BA">
      <w:pPr>
        <w:jc w:val="both"/>
        <w:rPr>
          <w:rFonts w:ascii="Arial Narrow" w:eastAsia="Arial" w:hAnsi="Arial Narrow" w:cs="Arial"/>
          <w:sz w:val="24"/>
          <w:szCs w:val="24"/>
        </w:rPr>
      </w:pPr>
      <w:r>
        <w:rPr>
          <w:rFonts w:ascii="Arial Narrow" w:eastAsia="Arial" w:hAnsi="Arial Narrow" w:cs="Arial"/>
          <w:sz w:val="24"/>
          <w:szCs w:val="24"/>
        </w:rPr>
        <w:t xml:space="preserve">Para la formulación del presente </w:t>
      </w:r>
      <w:r w:rsidR="00C939F8" w:rsidRPr="009C1575">
        <w:rPr>
          <w:rFonts w:ascii="Arial Narrow" w:eastAsia="Arial" w:hAnsi="Arial Narrow" w:cs="Arial"/>
          <w:sz w:val="24"/>
          <w:szCs w:val="24"/>
        </w:rPr>
        <w:t>proyecto de ley</w:t>
      </w:r>
      <w:r>
        <w:rPr>
          <w:rFonts w:ascii="Arial Narrow" w:eastAsia="Arial" w:hAnsi="Arial Narrow" w:cs="Arial"/>
          <w:sz w:val="24"/>
          <w:szCs w:val="24"/>
        </w:rPr>
        <w:t>, el Autor de la iniciativa</w:t>
      </w:r>
      <w:r w:rsidR="00C939F8" w:rsidRPr="009C1575">
        <w:rPr>
          <w:rFonts w:ascii="Arial Narrow" w:eastAsia="Arial" w:hAnsi="Arial Narrow" w:cs="Arial"/>
          <w:sz w:val="24"/>
          <w:szCs w:val="24"/>
        </w:rPr>
        <w:t xml:space="preserve"> retoma algunos de los postulados que orientaron la formulación de la ley municipal 1854 de disposición final de residuos de la municipalidad de Buenos Aires argentina, </w:t>
      </w:r>
      <w:r>
        <w:rPr>
          <w:rFonts w:ascii="Arial Narrow" w:eastAsia="Arial" w:hAnsi="Arial Narrow" w:cs="Arial"/>
          <w:sz w:val="24"/>
          <w:szCs w:val="24"/>
        </w:rPr>
        <w:t>adoptando</w:t>
      </w:r>
      <w:r w:rsidR="00C939F8" w:rsidRPr="009C1575">
        <w:rPr>
          <w:rFonts w:ascii="Arial Narrow" w:eastAsia="Arial" w:hAnsi="Arial Narrow" w:cs="Arial"/>
          <w:sz w:val="24"/>
          <w:szCs w:val="24"/>
        </w:rPr>
        <w:t xml:space="preserve"> formas de la redacción original que admitían comparación con el derecho interno y que permitían armonizar</w:t>
      </w:r>
      <w:r>
        <w:rPr>
          <w:rFonts w:ascii="Arial Narrow" w:eastAsia="Arial" w:hAnsi="Arial Narrow" w:cs="Arial"/>
          <w:sz w:val="24"/>
          <w:szCs w:val="24"/>
        </w:rPr>
        <w:t xml:space="preserve"> las disposiciones existentes. A</w:t>
      </w:r>
      <w:r w:rsidR="00C939F8" w:rsidRPr="009C1575">
        <w:rPr>
          <w:rFonts w:ascii="Arial Narrow" w:eastAsia="Arial" w:hAnsi="Arial Narrow" w:cs="Arial"/>
          <w:sz w:val="24"/>
          <w:szCs w:val="24"/>
        </w:rPr>
        <w:t xml:space="preserve">dicionalmente la dilación constante en la implementación de medidas de saneamiento y adecuación técnica, junto a la profundización de los daños ambientales conforme proliferan y se expanden rellenos a lo largo y ancho de todo el país, nos impulsa a poner un alto en este sentido, estableciendo con </w:t>
      </w:r>
      <w:r w:rsidR="00C939F8" w:rsidRPr="009C1575">
        <w:rPr>
          <w:rFonts w:ascii="Arial Narrow" w:eastAsia="Arial" w:hAnsi="Arial Narrow" w:cs="Arial"/>
          <w:sz w:val="24"/>
          <w:szCs w:val="24"/>
        </w:rPr>
        <w:lastRenderedPageBreak/>
        <w:t xml:space="preserve">alcance de ley un freno normativo que suponga un punto de transformación de la forma como gestionamos la disposición final de residuos y por lo tanto proponemos el siguiente. </w:t>
      </w:r>
    </w:p>
    <w:p w:rsidR="00C939F8" w:rsidRPr="009C1575" w:rsidRDefault="00C939F8" w:rsidP="00C939F8">
      <w:pPr>
        <w:spacing w:line="360" w:lineRule="auto"/>
        <w:jc w:val="both"/>
        <w:rPr>
          <w:rFonts w:ascii="Arial Narrow" w:eastAsia="Arial" w:hAnsi="Arial Narrow" w:cs="Arial"/>
          <w:sz w:val="24"/>
          <w:szCs w:val="24"/>
        </w:rPr>
      </w:pPr>
      <w:r w:rsidRPr="009C1575">
        <w:rPr>
          <w:rFonts w:ascii="Arial Narrow" w:eastAsia="Arial" w:hAnsi="Arial Narrow" w:cs="Arial"/>
          <w:b/>
          <w:sz w:val="24"/>
          <w:szCs w:val="24"/>
        </w:rPr>
        <w:t xml:space="preserve">PROBLEMÁTICA DE SALUD </w:t>
      </w:r>
      <w:r w:rsidR="007E39BA" w:rsidRPr="009C1575">
        <w:rPr>
          <w:rFonts w:ascii="Arial Narrow" w:eastAsia="Arial" w:hAnsi="Arial Narrow" w:cs="Arial"/>
          <w:b/>
          <w:sz w:val="24"/>
          <w:szCs w:val="24"/>
        </w:rPr>
        <w:t>PÚBLICA</w:t>
      </w:r>
      <w:r w:rsidRPr="009C1575">
        <w:rPr>
          <w:rFonts w:ascii="Arial Narrow" w:eastAsia="Arial" w:hAnsi="Arial Narrow" w:cs="Arial"/>
          <w:sz w:val="24"/>
          <w:szCs w:val="24"/>
        </w:rPr>
        <w:t xml:space="preserve"> </w:t>
      </w:r>
    </w:p>
    <w:p w:rsidR="00C939F8" w:rsidRPr="009C1575" w:rsidRDefault="00C939F8" w:rsidP="007E39BA">
      <w:pPr>
        <w:jc w:val="both"/>
        <w:rPr>
          <w:rFonts w:ascii="Arial Narrow" w:eastAsia="Verdana" w:hAnsi="Arial Narrow" w:cs="Arial"/>
          <w:sz w:val="24"/>
          <w:szCs w:val="24"/>
          <w:highlight w:val="white"/>
        </w:rPr>
      </w:pPr>
      <w:r w:rsidRPr="009C1575">
        <w:rPr>
          <w:rFonts w:ascii="Arial Narrow" w:eastAsia="Verdana" w:hAnsi="Arial Narrow" w:cs="Arial"/>
          <w:sz w:val="24"/>
          <w:szCs w:val="24"/>
          <w:highlight w:val="white"/>
        </w:rPr>
        <w:t>Cuando los residuos sólidos urbanos son dispuestos en rellenos sanitarios ocurren una serie de reacciones biológicas y químicas, “</w:t>
      </w:r>
      <w:r w:rsidRPr="009C1575">
        <w:rPr>
          <w:rFonts w:ascii="Arial Narrow" w:eastAsia="Verdana" w:hAnsi="Arial Narrow" w:cs="Arial"/>
          <w:i/>
          <w:sz w:val="24"/>
          <w:szCs w:val="24"/>
          <w:highlight w:val="white"/>
        </w:rPr>
        <w:t>que favorecen su degradación, siendo generalmente aceptado que en rellenos sanitarios de 30 años o menos de operación, ocurren, al menos, cuatro fases de descomposición: aerobia inicial, ácida anaerobia, metanogénica inicial y metanogénica estable; sin embargo, factores en el relleno sanitario, como la composición de los RSU, condiciones climáticas, como la precipitación e infiltración, la forma de operación, como es el caso de la recirculación de los lixiviados y la implementación de procesos de aireación, pueden tener un efecto sobre las tasas y el tiempo de degradación de los RSU</w:t>
      </w:r>
      <w:r w:rsidRPr="009C1575">
        <w:rPr>
          <w:rFonts w:ascii="Arial Narrow" w:eastAsia="Verdana" w:hAnsi="Arial Narrow" w:cs="Arial"/>
          <w:sz w:val="24"/>
          <w:szCs w:val="24"/>
          <w:highlight w:val="white"/>
        </w:rPr>
        <w:t xml:space="preserve">” (Kjeldsen </w:t>
      </w:r>
      <w:r w:rsidRPr="009C1575">
        <w:rPr>
          <w:rFonts w:ascii="Arial Narrow" w:eastAsia="Verdana" w:hAnsi="Arial Narrow" w:cs="Arial"/>
          <w:i/>
          <w:sz w:val="24"/>
          <w:szCs w:val="24"/>
          <w:highlight w:val="white"/>
        </w:rPr>
        <w:t xml:space="preserve">et al. </w:t>
      </w:r>
      <w:r w:rsidRPr="009C1575">
        <w:rPr>
          <w:rFonts w:ascii="Arial Narrow" w:eastAsia="Verdana" w:hAnsi="Arial Narrow" w:cs="Arial"/>
          <w:sz w:val="24"/>
          <w:szCs w:val="24"/>
          <w:highlight w:val="white"/>
        </w:rPr>
        <w:t>2002).</w:t>
      </w:r>
    </w:p>
    <w:p w:rsidR="00C939F8" w:rsidRPr="009C1575" w:rsidRDefault="00C939F8" w:rsidP="007E39BA">
      <w:pPr>
        <w:jc w:val="both"/>
        <w:rPr>
          <w:rFonts w:ascii="Arial Narrow" w:eastAsia="Verdana" w:hAnsi="Arial Narrow" w:cs="Arial"/>
          <w:b/>
          <w:sz w:val="24"/>
          <w:szCs w:val="24"/>
          <w:highlight w:val="white"/>
        </w:rPr>
      </w:pPr>
      <w:r w:rsidRPr="009C1575">
        <w:rPr>
          <w:rFonts w:ascii="Arial Narrow" w:eastAsia="Verdana" w:hAnsi="Arial Narrow" w:cs="Arial"/>
          <w:sz w:val="24"/>
          <w:szCs w:val="24"/>
          <w:highlight w:val="white"/>
        </w:rPr>
        <w:t>En el proceso de degradación múltiples residuos son arrojados al aire , estos residuos afectan a la población circundante y de forma particular a los adultos mayores de conformidad con el estudio “Impacto de un sitio de disposición final de residuos sólidos en la salud respiratoria de los adultos mayores “  demostrando que, independientemente de los potenciales factores de confusión, la salud respiratoria de los adultos mayores de 50 años expuestos al Botadero de Navarro ( valle del cauca)  está afectada con una mayor presencia y cronicidad de síntomas respiratorios moderados y una disminución de la función pulmonar. Adicional La exposición al depósito de residuos sólidos se asoció con un menor valor en los índices de crecimiento pondo-estatural.</w:t>
      </w:r>
      <w:r w:rsidRPr="009C1575">
        <w:rPr>
          <w:rStyle w:val="Refdenotaalpie"/>
          <w:rFonts w:ascii="Arial Narrow" w:eastAsia="Verdana" w:hAnsi="Arial Narrow"/>
          <w:sz w:val="24"/>
          <w:szCs w:val="24"/>
          <w:highlight w:val="white"/>
        </w:rPr>
        <w:footnoteReference w:id="4"/>
      </w:r>
      <w:r w:rsidRPr="009C1575">
        <w:rPr>
          <w:rFonts w:ascii="Arial Narrow" w:eastAsia="Verdana" w:hAnsi="Arial Narrow" w:cs="Arial"/>
          <w:b/>
          <w:sz w:val="24"/>
          <w:szCs w:val="24"/>
          <w:highlight w:val="white"/>
        </w:rPr>
        <w:t xml:space="preserve">  </w:t>
      </w:r>
    </w:p>
    <w:p w:rsidR="00C939F8" w:rsidRPr="009C1575" w:rsidRDefault="00C939F8" w:rsidP="007E39BA">
      <w:pPr>
        <w:jc w:val="both"/>
        <w:rPr>
          <w:rFonts w:ascii="Arial Narrow" w:eastAsia="Arial" w:hAnsi="Arial Narrow" w:cs="Arial"/>
          <w:sz w:val="24"/>
          <w:szCs w:val="24"/>
          <w:highlight w:val="white"/>
        </w:rPr>
      </w:pPr>
      <w:r w:rsidRPr="009C1575">
        <w:rPr>
          <w:rFonts w:ascii="Arial Narrow" w:eastAsia="Arial" w:hAnsi="Arial Narrow" w:cs="Arial"/>
          <w:sz w:val="24"/>
          <w:szCs w:val="24"/>
          <w:highlight w:val="white"/>
        </w:rPr>
        <w:t>Existen varios estudios en el mundo que dan cuenta del impacto que pueden tener los rellenos sanitarios en la salud de la población cercana, como se ejemplifica a continuación:</w:t>
      </w:r>
    </w:p>
    <w:p w:rsidR="00C939F8" w:rsidRPr="009C1575" w:rsidRDefault="00C939F8" w:rsidP="007E39BA">
      <w:pPr>
        <w:jc w:val="both"/>
        <w:rPr>
          <w:rFonts w:ascii="Arial Narrow" w:eastAsia="Arial" w:hAnsi="Arial Narrow" w:cs="Arial"/>
          <w:sz w:val="24"/>
          <w:szCs w:val="24"/>
          <w:highlight w:val="white"/>
        </w:rPr>
      </w:pPr>
      <w:r w:rsidRPr="009C1575">
        <w:rPr>
          <w:rFonts w:ascii="Arial Narrow" w:eastAsia="Arial" w:hAnsi="Arial Narrow" w:cs="Arial"/>
          <w:sz w:val="24"/>
          <w:szCs w:val="24"/>
          <w:highlight w:val="white"/>
        </w:rPr>
        <w:t>•Residentes a menos de 5km de rellenos sanitarios en seis áreas de la región de Toscana, Italia presentaron excesos de mortalidad por enfermedades cardiovasculares, cerebrovasculares, linfoma de tipo no-Hodgkin y por cáncer de hígado y de vejiga, entre 1995-2000. (Minichilli et al, 2005)</w:t>
      </w:r>
    </w:p>
    <w:p w:rsidR="00C939F8" w:rsidRPr="009C1575" w:rsidRDefault="00C939F8" w:rsidP="007E39BA">
      <w:pPr>
        <w:jc w:val="both"/>
        <w:rPr>
          <w:rFonts w:ascii="Arial Narrow" w:eastAsia="Arial" w:hAnsi="Arial Narrow" w:cs="Arial"/>
          <w:sz w:val="24"/>
          <w:szCs w:val="24"/>
          <w:highlight w:val="white"/>
        </w:rPr>
      </w:pPr>
      <w:r w:rsidRPr="009C1575">
        <w:rPr>
          <w:rFonts w:ascii="Arial Narrow" w:eastAsia="Arial" w:hAnsi="Arial Narrow" w:cs="Arial"/>
          <w:sz w:val="24"/>
          <w:szCs w:val="24"/>
          <w:highlight w:val="white"/>
        </w:rPr>
        <w:t>•En 1995 se publicó un estudio sobre familias que vivían cerca de un importante relleno municipal: The Miron Quarry, en la Ciudad de Montreal, Canadá. Este relleno se utilizó entre 1968 y 1990 y es el tercer relleno más grande de América del Norte. Allí se encontró una elevada incidencia de cáncer de estómago, hígado, próstata, y pulmón entre los hombres y de útero y cervical entre las mujeres (ATSDR, 2001).</w:t>
      </w:r>
    </w:p>
    <w:p w:rsidR="00C939F8" w:rsidRPr="009C1575" w:rsidRDefault="00C939F8" w:rsidP="007E39BA">
      <w:pPr>
        <w:jc w:val="both"/>
        <w:rPr>
          <w:rFonts w:ascii="Arial Narrow" w:eastAsia="Arial" w:hAnsi="Arial Narrow" w:cs="Arial"/>
          <w:sz w:val="24"/>
          <w:szCs w:val="24"/>
          <w:highlight w:val="white"/>
        </w:rPr>
      </w:pPr>
      <w:r w:rsidRPr="009C1575">
        <w:rPr>
          <w:rFonts w:ascii="Arial Narrow" w:eastAsia="Arial" w:hAnsi="Arial Narrow" w:cs="Arial"/>
          <w:sz w:val="24"/>
          <w:szCs w:val="24"/>
          <w:highlight w:val="white"/>
        </w:rPr>
        <w:lastRenderedPageBreak/>
        <w:t>•Un estudio asocia el riesgo de cáncer y asma a personas con viviendas en áreas de rellenos sanitarios en Helsinki, Finlandia. (Pukkala et al, 2001)</w:t>
      </w:r>
    </w:p>
    <w:p w:rsidR="00C939F8" w:rsidRPr="009C1575" w:rsidRDefault="00C939F8" w:rsidP="007E39BA">
      <w:pPr>
        <w:jc w:val="both"/>
        <w:rPr>
          <w:rFonts w:ascii="Arial Narrow" w:eastAsia="Verdana" w:hAnsi="Arial Narrow" w:cs="Arial"/>
          <w:sz w:val="24"/>
          <w:szCs w:val="24"/>
          <w:highlight w:val="white"/>
        </w:rPr>
      </w:pPr>
      <w:r w:rsidRPr="009C1575">
        <w:rPr>
          <w:rFonts w:ascii="Arial Narrow" w:eastAsia="Arial" w:hAnsi="Arial Narrow" w:cs="Arial"/>
          <w:sz w:val="24"/>
          <w:szCs w:val="24"/>
          <w:highlight w:val="white"/>
        </w:rPr>
        <w:t>• Un estudio realizado en 1998 por el Departamento de Salud del Estado de NuevaYork examinó la incidencia de siete tipos de cáncer en hombres y mujeres queviven cerca de 38 rellenos donde se piensa que existe liberación de gases. De los14 tipos de cáncer estudiados (7 en hombres y 7 en mujeres), se encontró que en10 casos, los valores eran elevados, pero en sólo dos tipos de cáncer (cáncer de vejiga y leucemia en las mujeres) fueron estadísticament</w:t>
      </w:r>
      <w:r w:rsidRPr="009C1575">
        <w:rPr>
          <w:rFonts w:ascii="Arial Narrow" w:eastAsia="Verdana" w:hAnsi="Arial Narrow" w:cs="Arial"/>
          <w:sz w:val="24"/>
          <w:szCs w:val="24"/>
          <w:highlight w:val="white"/>
        </w:rPr>
        <w:t xml:space="preserve">e significativos. </w:t>
      </w:r>
      <w:r w:rsidRPr="009C1575">
        <w:rPr>
          <w:rStyle w:val="Refdenotaalpie"/>
          <w:rFonts w:ascii="Arial Narrow" w:eastAsia="Verdana" w:hAnsi="Arial Narrow"/>
          <w:sz w:val="24"/>
          <w:szCs w:val="24"/>
          <w:highlight w:val="white"/>
        </w:rPr>
        <w:footnoteReference w:id="5"/>
      </w:r>
    </w:p>
    <w:p w:rsidR="00C939F8" w:rsidRPr="009C1575" w:rsidRDefault="00C939F8" w:rsidP="007E39BA">
      <w:pPr>
        <w:jc w:val="both"/>
        <w:rPr>
          <w:rFonts w:ascii="Arial Narrow" w:eastAsia="Arial" w:hAnsi="Arial Narrow" w:cs="Arial"/>
          <w:sz w:val="24"/>
          <w:szCs w:val="24"/>
          <w:highlight w:val="white"/>
        </w:rPr>
      </w:pPr>
      <w:r w:rsidRPr="009C1575">
        <w:rPr>
          <w:rFonts w:ascii="Arial Narrow" w:eastAsia="Arial" w:hAnsi="Arial Narrow" w:cs="Arial"/>
          <w:sz w:val="24"/>
          <w:szCs w:val="24"/>
          <w:highlight w:val="white"/>
        </w:rPr>
        <w:t xml:space="preserve"> La evidencia respecto a los impactos sobre la salud publica pone de manifiesto la necesidad de invertir en tecnologías que ayuden a disminuirlos, los residuos a cielo abierto son una consecuencia de los procesos de urbanización, no obstante, las afectaciones en la salud no son consecuencia necesaria, de la disposición de residuos, si no de su disposición sin planificación y tratamiento adecuado.    </w:t>
      </w:r>
    </w:p>
    <w:p w:rsidR="00C939F8" w:rsidRPr="009C1575" w:rsidRDefault="00C939F8" w:rsidP="00C939F8">
      <w:pPr>
        <w:spacing w:line="360" w:lineRule="auto"/>
        <w:jc w:val="both"/>
        <w:rPr>
          <w:rFonts w:ascii="Arial Narrow" w:eastAsia="Verdana" w:hAnsi="Arial Narrow" w:cs="Arial"/>
          <w:b/>
          <w:sz w:val="24"/>
          <w:szCs w:val="24"/>
          <w:highlight w:val="white"/>
        </w:rPr>
      </w:pPr>
      <w:r w:rsidRPr="009C1575">
        <w:rPr>
          <w:rFonts w:ascii="Arial Narrow" w:eastAsia="Verdana" w:hAnsi="Arial Narrow" w:cs="Arial"/>
          <w:b/>
          <w:sz w:val="24"/>
          <w:szCs w:val="24"/>
          <w:highlight w:val="white"/>
        </w:rPr>
        <w:t>MEJORES PRACTICAS</w:t>
      </w:r>
    </w:p>
    <w:p w:rsidR="00C939F8" w:rsidRPr="009C1575" w:rsidRDefault="00C939F8" w:rsidP="007E39BA">
      <w:pPr>
        <w:shd w:val="clear" w:color="auto" w:fill="FFFFFF"/>
        <w:jc w:val="both"/>
        <w:rPr>
          <w:rFonts w:ascii="Arial Narrow" w:eastAsia="Arial" w:hAnsi="Arial Narrow" w:cs="Arial"/>
          <w:sz w:val="24"/>
          <w:szCs w:val="24"/>
        </w:rPr>
      </w:pPr>
      <w:r w:rsidRPr="009C1575">
        <w:rPr>
          <w:rFonts w:ascii="Arial Narrow" w:eastAsia="Arial" w:hAnsi="Arial Narrow" w:cs="Arial"/>
          <w:color w:val="555555"/>
          <w:sz w:val="24"/>
          <w:szCs w:val="24"/>
        </w:rPr>
        <w:t>L</w:t>
      </w:r>
      <w:r w:rsidRPr="009C1575">
        <w:rPr>
          <w:rFonts w:ascii="Arial Narrow" w:eastAsia="Arial" w:hAnsi="Arial Narrow" w:cs="Arial"/>
          <w:sz w:val="24"/>
          <w:szCs w:val="24"/>
        </w:rPr>
        <w:t>a definición de las mejores prácticas alrededor de la gestión de los residuos sólidos no contienen una sola formula de arreglo, sin embargo la idea de solución pasa por concebir el problema de los residuos como un problema de política pública, que debe tener al centro de sus preocupaciones el aprovechamiento en conjunto con el uso de tecnologías apropiadas, dentro de los modelos de gestión destacados, las características comunes son: la vinculación de sectores marginados por la sociedad, la destinación de recursos para la adquisición de tecnología con este fin, la vinculación de la ciudadanía en general con el modelo de gestión.</w:t>
      </w:r>
    </w:p>
    <w:p w:rsidR="00C939F8" w:rsidRPr="009C1575" w:rsidRDefault="00C939F8" w:rsidP="007E39BA">
      <w:pPr>
        <w:shd w:val="clear" w:color="auto" w:fill="FFFFFF"/>
        <w:jc w:val="both"/>
        <w:rPr>
          <w:rFonts w:ascii="Arial Narrow" w:eastAsia="Arial" w:hAnsi="Arial Narrow" w:cs="Arial"/>
          <w:sz w:val="24"/>
          <w:szCs w:val="24"/>
        </w:rPr>
      </w:pPr>
      <w:r w:rsidRPr="009C1575">
        <w:rPr>
          <w:rFonts w:ascii="Arial Narrow" w:eastAsia="Arial" w:hAnsi="Arial Narrow" w:cs="Arial"/>
          <w:sz w:val="24"/>
          <w:szCs w:val="24"/>
        </w:rPr>
        <w:t>Asi dentro de estos modelos destaca el de Sierra Leona al haber apalancado además un sector productivo a partir de la transformación de estos residuos. El modelo de Cochabamba - Bolivia que recoge la experiencia de la ciudad de Bogotá en el proceso de formalización de población recicladora de oficio bajo un sistema llamado “</w:t>
      </w:r>
      <w:r w:rsidRPr="009C1575">
        <w:rPr>
          <w:rFonts w:ascii="Arial Narrow" w:eastAsia="Arial" w:hAnsi="Arial Narrow" w:cs="Arial"/>
          <w:i/>
          <w:sz w:val="24"/>
          <w:szCs w:val="24"/>
        </w:rPr>
        <w:t>ecorecolectores</w:t>
      </w:r>
      <w:r w:rsidRPr="009C1575">
        <w:rPr>
          <w:rFonts w:ascii="Arial Narrow" w:eastAsia="Arial" w:hAnsi="Arial Narrow" w:cs="Arial"/>
          <w:sz w:val="24"/>
          <w:szCs w:val="24"/>
        </w:rPr>
        <w:t>” aunado a una inversión sostenida por parte del estado para que estos alcanzaran su autosostenimiento y tecnificación, aumentando la ratio de recolección.</w:t>
      </w:r>
    </w:p>
    <w:p w:rsidR="00C939F8" w:rsidRPr="007E39BA" w:rsidRDefault="00C939F8" w:rsidP="007E39BA">
      <w:pPr>
        <w:shd w:val="clear" w:color="auto" w:fill="FFFFFF"/>
        <w:jc w:val="both"/>
        <w:rPr>
          <w:rFonts w:ascii="Arial Narrow" w:eastAsia="Arial" w:hAnsi="Arial Narrow" w:cs="Arial"/>
          <w:sz w:val="24"/>
          <w:szCs w:val="24"/>
        </w:rPr>
      </w:pPr>
      <w:r w:rsidRPr="009C1575">
        <w:rPr>
          <w:rFonts w:ascii="Arial Narrow" w:eastAsia="Arial" w:hAnsi="Arial Narrow" w:cs="Arial"/>
          <w:sz w:val="24"/>
          <w:szCs w:val="24"/>
        </w:rPr>
        <w:t>En el contexto europeo la experiencia de</w:t>
      </w:r>
      <w:r w:rsidRPr="009C1575">
        <w:rPr>
          <w:rFonts w:ascii="Arial Narrow" w:eastAsia="Arial" w:hAnsi="Arial Narrow" w:cs="Arial"/>
          <w:b/>
          <w:sz w:val="24"/>
          <w:szCs w:val="24"/>
        </w:rPr>
        <w:t xml:space="preserve"> Flandes (Bélgica)</w:t>
      </w:r>
      <w:r w:rsidRPr="009C1575">
        <w:rPr>
          <w:rFonts w:ascii="Arial Narrow" w:eastAsia="Arial" w:hAnsi="Arial Narrow" w:cs="Arial"/>
          <w:sz w:val="24"/>
          <w:szCs w:val="24"/>
        </w:rPr>
        <w:t xml:space="preserve">. Posee el crecimiento en la recuperación de los residuos más alta de Europa, pasando de casi cero en 1980 a más del 70% en 2013. Este hito ha sido posible con una mezcla de políticas sociales, fiscales y legales, educación ambiental, centros </w:t>
      </w:r>
      <w:r w:rsidRPr="009C1575">
        <w:rPr>
          <w:rFonts w:ascii="Arial Narrow" w:eastAsia="Arial" w:hAnsi="Arial Narrow" w:cs="Arial"/>
          <w:sz w:val="24"/>
          <w:szCs w:val="24"/>
        </w:rPr>
        <w:lastRenderedPageBreak/>
        <w:t>de reutilización o el sistema "Pay As You Throw" (PAYT): cuanta menos basura producen sus ciudadanos, menos impuestos o tasas municipales pagan.</w:t>
      </w:r>
      <w:r w:rsidRPr="009C1575">
        <w:rPr>
          <w:rStyle w:val="Refdenotaalpie"/>
          <w:rFonts w:ascii="Arial Narrow" w:hAnsi="Arial Narrow"/>
          <w:sz w:val="24"/>
          <w:szCs w:val="24"/>
        </w:rPr>
        <w:footnoteReference w:id="6"/>
      </w:r>
      <w:r w:rsidRPr="009C1575">
        <w:rPr>
          <w:rFonts w:ascii="Arial Narrow" w:eastAsia="Arial" w:hAnsi="Arial Narrow" w:cs="Arial"/>
          <w:sz w:val="24"/>
          <w:szCs w:val="24"/>
        </w:rPr>
        <w:t xml:space="preserve"> </w:t>
      </w:r>
    </w:p>
    <w:p w:rsidR="00C939F8" w:rsidRPr="009C1575" w:rsidRDefault="00C939F8" w:rsidP="00C939F8">
      <w:pPr>
        <w:spacing w:line="360" w:lineRule="auto"/>
        <w:jc w:val="both"/>
        <w:rPr>
          <w:rFonts w:ascii="Arial Narrow" w:eastAsia="Arial" w:hAnsi="Arial Narrow" w:cs="Arial"/>
          <w:sz w:val="24"/>
          <w:szCs w:val="24"/>
        </w:rPr>
      </w:pPr>
      <w:r w:rsidRPr="009C1575">
        <w:rPr>
          <w:rFonts w:ascii="Arial Narrow" w:eastAsia="Arial" w:hAnsi="Arial Narrow" w:cs="Arial"/>
          <w:b/>
          <w:sz w:val="24"/>
          <w:szCs w:val="24"/>
        </w:rPr>
        <w:t xml:space="preserve">FOMENTO AL APROVECHAMIENTO </w:t>
      </w:r>
    </w:p>
    <w:p w:rsidR="00C939F8" w:rsidRPr="009C1575" w:rsidRDefault="007E39BA" w:rsidP="007E39BA">
      <w:pPr>
        <w:jc w:val="both"/>
        <w:rPr>
          <w:rFonts w:ascii="Arial Narrow" w:hAnsi="Arial Narrow" w:cs="Arial"/>
          <w:sz w:val="24"/>
          <w:szCs w:val="24"/>
        </w:rPr>
      </w:pPr>
      <w:r>
        <w:rPr>
          <w:rFonts w:ascii="Arial Narrow" w:eastAsia="Arial" w:hAnsi="Arial Narrow" w:cs="Arial"/>
          <w:sz w:val="24"/>
          <w:szCs w:val="24"/>
        </w:rPr>
        <w:t>Expone el autor de la iniciativa que e</w:t>
      </w:r>
      <w:r w:rsidR="00C939F8" w:rsidRPr="009C1575">
        <w:rPr>
          <w:rFonts w:ascii="Arial Narrow" w:eastAsia="Arial" w:hAnsi="Arial Narrow" w:cs="Arial"/>
          <w:sz w:val="24"/>
          <w:szCs w:val="24"/>
        </w:rPr>
        <w:t xml:space="preserve">l </w:t>
      </w:r>
      <w:r w:rsidRPr="009C1575">
        <w:rPr>
          <w:rFonts w:ascii="Arial Narrow" w:eastAsia="Arial" w:hAnsi="Arial Narrow" w:cs="Arial"/>
          <w:sz w:val="24"/>
          <w:szCs w:val="24"/>
        </w:rPr>
        <w:t>artículo</w:t>
      </w:r>
      <w:r w:rsidR="00C939F8" w:rsidRPr="009C1575">
        <w:rPr>
          <w:rFonts w:ascii="Arial Narrow" w:eastAsia="Arial" w:hAnsi="Arial Narrow" w:cs="Arial"/>
          <w:sz w:val="24"/>
          <w:szCs w:val="24"/>
        </w:rPr>
        <w:t xml:space="preserve"> 8 del presente proyecto de ley busca disminuir la disposición de residuos aprovechables en rellenos sanitarios por via de la regulación de </w:t>
      </w:r>
      <w:r>
        <w:rPr>
          <w:rFonts w:ascii="Arial Narrow" w:eastAsia="Arial" w:hAnsi="Arial Narrow" w:cs="Arial"/>
          <w:sz w:val="24"/>
          <w:szCs w:val="24"/>
        </w:rPr>
        <w:t>l</w:t>
      </w:r>
      <w:r w:rsidR="00C939F8" w:rsidRPr="009C1575">
        <w:rPr>
          <w:rFonts w:ascii="Arial Narrow" w:eastAsia="Arial" w:hAnsi="Arial Narrow" w:cs="Arial"/>
          <w:sz w:val="24"/>
          <w:szCs w:val="24"/>
        </w:rPr>
        <w:t xml:space="preserve">os residuos dispuestos por los multiusuarios bajo el entendido de que estos son los definidos en </w:t>
      </w:r>
      <w:r w:rsidR="00C939F8" w:rsidRPr="009C1575">
        <w:rPr>
          <w:rFonts w:ascii="Arial Narrow" w:hAnsi="Arial Narrow" w:cs="Arial"/>
          <w:sz w:val="24"/>
          <w:szCs w:val="24"/>
        </w:rPr>
        <w:t>el Decreto 1713 de 2002, como  “ Todos aquellos usuarios agrupados en unidades inmobiliarias, centros habitacionales, conjuntos residenciales, condominios o similares bajo el régimen de propiedad horizontal vigente o concentrados en centros comerciales o similares, que se caracterizan porque presentan en forma conjunta sus residuos sólidos a la persona prestadora del servicio”.</w:t>
      </w:r>
    </w:p>
    <w:p w:rsidR="00C939F8" w:rsidRPr="009C1575" w:rsidRDefault="00C939F8" w:rsidP="007E39BA">
      <w:pPr>
        <w:jc w:val="both"/>
        <w:rPr>
          <w:rFonts w:ascii="Arial Narrow" w:hAnsi="Arial Narrow" w:cs="Arial"/>
          <w:sz w:val="24"/>
          <w:szCs w:val="24"/>
        </w:rPr>
      </w:pPr>
      <w:r w:rsidRPr="009C1575">
        <w:rPr>
          <w:rFonts w:ascii="Arial Narrow" w:hAnsi="Arial Narrow" w:cs="Arial"/>
          <w:sz w:val="24"/>
          <w:szCs w:val="24"/>
        </w:rPr>
        <w:t xml:space="preserve">Así mismo el decreto prevé la obligación de prorratear los descuentos en virtud del </w:t>
      </w:r>
      <w:r w:rsidR="007E39BA" w:rsidRPr="009C1575">
        <w:rPr>
          <w:rFonts w:ascii="Arial Narrow" w:hAnsi="Arial Narrow" w:cs="Arial"/>
          <w:sz w:val="24"/>
          <w:szCs w:val="24"/>
        </w:rPr>
        <w:t>número</w:t>
      </w:r>
      <w:r w:rsidRPr="009C1575">
        <w:rPr>
          <w:rFonts w:ascii="Arial Narrow" w:hAnsi="Arial Narrow" w:cs="Arial"/>
          <w:sz w:val="24"/>
          <w:szCs w:val="24"/>
        </w:rPr>
        <w:t xml:space="preserve"> de usuarios agrupados. El cambio introducido por el presente proyecto pretende que este </w:t>
      </w:r>
      <w:r w:rsidR="007E39BA" w:rsidRPr="009C1575">
        <w:rPr>
          <w:rFonts w:ascii="Arial Narrow" w:hAnsi="Arial Narrow" w:cs="Arial"/>
          <w:sz w:val="24"/>
          <w:szCs w:val="24"/>
        </w:rPr>
        <w:t>cálculo</w:t>
      </w:r>
      <w:r w:rsidRPr="009C1575">
        <w:rPr>
          <w:rFonts w:ascii="Arial Narrow" w:hAnsi="Arial Narrow" w:cs="Arial"/>
          <w:sz w:val="24"/>
          <w:szCs w:val="24"/>
        </w:rPr>
        <w:t xml:space="preserve"> y su consecuente descuento por separación de residuos aprovechables se realice de oficio, buscando conservar la mayor armonía normativa posible, al ser concordante con el artículo 80 de la Ley 675 de 2001, el cual señala que las empresas prestadoras de servicios públicos domiciliarios elaborarán las facturas en forma individual. Adicional el artículo 87 de la Ley 142 de 1994 contiene los criterios del régimen tarifario, entre los cuales el artículo 87.2 establece el de neutralidad, según el cual cada usuario tiene derecho a tener el mismo tratamiento tarifario que cualquier otro si las características de los costos que ocasiona a las empresas de servicios públicos son iguales.</w:t>
      </w:r>
    </w:p>
    <w:p w:rsidR="007E39BA" w:rsidRPr="00F32968" w:rsidRDefault="00C939F8" w:rsidP="00F32968">
      <w:pPr>
        <w:jc w:val="both"/>
        <w:rPr>
          <w:rFonts w:ascii="Arial Narrow" w:hAnsi="Arial Narrow" w:cs="Arial"/>
          <w:sz w:val="24"/>
          <w:szCs w:val="24"/>
        </w:rPr>
      </w:pPr>
      <w:r w:rsidRPr="009C1575">
        <w:rPr>
          <w:rFonts w:ascii="Arial Narrow" w:hAnsi="Arial Narrow" w:cs="Arial"/>
          <w:sz w:val="24"/>
          <w:szCs w:val="24"/>
        </w:rPr>
        <w:t>Lo cual implica que los descuentos por aprovechamiento deben aplicarse a todos los multiusuarios independiente si estos lo han solicitado o no, en especial por que el mismo artículo, prevé que las tarifas de los servicios públicos deben basarse en los costos reales de su prestación.</w:t>
      </w:r>
    </w:p>
    <w:p w:rsidR="00C939F8" w:rsidRPr="009C1575" w:rsidRDefault="00C939F8" w:rsidP="00C939F8">
      <w:pPr>
        <w:spacing w:line="360" w:lineRule="auto"/>
        <w:jc w:val="both"/>
        <w:rPr>
          <w:rFonts w:ascii="Arial Narrow" w:eastAsia="Arial" w:hAnsi="Arial Narrow" w:cs="Arial"/>
          <w:b/>
          <w:sz w:val="24"/>
          <w:szCs w:val="24"/>
        </w:rPr>
      </w:pPr>
      <w:r w:rsidRPr="009C1575">
        <w:rPr>
          <w:rFonts w:ascii="Arial Narrow" w:eastAsia="Arial" w:hAnsi="Arial Narrow" w:cs="Arial"/>
          <w:b/>
          <w:sz w:val="24"/>
          <w:szCs w:val="24"/>
        </w:rPr>
        <w:t>EL PELIGRO DE LOS RELLENOS SANITARIOS</w:t>
      </w:r>
    </w:p>
    <w:p w:rsidR="00C939F8" w:rsidRPr="009C1575" w:rsidRDefault="007E39BA" w:rsidP="007E39BA">
      <w:pPr>
        <w:jc w:val="both"/>
        <w:rPr>
          <w:rFonts w:ascii="Arial Narrow" w:eastAsia="Arial" w:hAnsi="Arial Narrow" w:cs="Arial"/>
          <w:sz w:val="24"/>
          <w:szCs w:val="24"/>
        </w:rPr>
      </w:pPr>
      <w:r>
        <w:rPr>
          <w:rFonts w:ascii="Arial Narrow" w:eastAsia="Arial" w:hAnsi="Arial Narrow" w:cs="Arial"/>
          <w:sz w:val="24"/>
          <w:szCs w:val="24"/>
        </w:rPr>
        <w:t>Por ultimo expone el autor de la iniciativa que, u</w:t>
      </w:r>
      <w:r w:rsidR="00C939F8" w:rsidRPr="009C1575">
        <w:rPr>
          <w:rFonts w:ascii="Arial Narrow" w:eastAsia="Arial" w:hAnsi="Arial Narrow" w:cs="Arial"/>
          <w:sz w:val="24"/>
          <w:szCs w:val="24"/>
        </w:rPr>
        <w:t>no de los casos más conocidos en Colombia como referente de malas prácticas en el proceso de disposición final de residuos es el del Relleno Sanitario Doña Juana que desencadeno la tragedia del año 1997.</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 xml:space="preserve">El relleno sanitario Doña Juana está ubicado al sur de la ciudad de Bogotá “En la zona rural del Distrito Capital, en terrenos pertenecientes a la vereda "Mochuelo Bajo" del Municipio anexo de Usme, a 4,5 Kilómetros de su zona urbana. Forma parte de la subcuenca correspondiente a la Quebrada </w:t>
      </w:r>
      <w:r w:rsidRPr="009C1575">
        <w:rPr>
          <w:rFonts w:ascii="Arial Narrow" w:eastAsia="Arial" w:hAnsi="Arial Narrow" w:cs="Arial"/>
          <w:sz w:val="24"/>
          <w:szCs w:val="24"/>
        </w:rPr>
        <w:lastRenderedPageBreak/>
        <w:t>Yerbabuena; el sitio se encuentra entre los 2.715 y 2.800 metros sobre el nivel del mar”</w:t>
      </w:r>
      <w:r w:rsidRPr="009C1575">
        <w:rPr>
          <w:rStyle w:val="Refdenotaalpie"/>
          <w:rFonts w:ascii="Arial Narrow" w:hAnsi="Arial Narrow"/>
          <w:sz w:val="24"/>
          <w:szCs w:val="24"/>
        </w:rPr>
        <w:footnoteReference w:id="7"/>
      </w:r>
      <w:r w:rsidRPr="009C1575">
        <w:rPr>
          <w:rFonts w:ascii="Arial Narrow" w:eastAsia="Arial" w:hAnsi="Arial Narrow" w:cs="Arial"/>
          <w:sz w:val="24"/>
          <w:szCs w:val="24"/>
        </w:rPr>
        <w:t>. En su diseño inicial el relleno no comprendía tratamiento para lixiviado, ni manejo de residuos peligrosos, no obstante, destacaba el análisis de la Estabilidad de Taludes.</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A partir del 1 de noviembre de noviembre de 1988 se recibieron todos los residuos sólidos domésticos, comerciales, institucionales, de barrido de calles y áreas públicas e industriales producidos en el área urbana del Distrito Especial de Bogotá y en algunos municipios cercanos. Constituyéndose como el único sitio de disposición final de residuos sólidos.</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Nueve años después de la puesta en funcionamiento del RSDJ y cinco años después de la creación de la segunda etapa, el 27 de septiembre de 1997 “aproximadamente a las 4:00 de la tarde, ocurrió la explosión. El relleno sanitario de Doña Juana (zona II) se derrumbó dejando a la intemperie más de un millón doscientas mil toneladas de residuos sólidos descompuestos y peligrosos, que se esparcieron rápidamente en un área mayor a 15 hectáreas, taponando y represando el cauce del río Tunjuelito. Una nube de gases ofensivos, irritantes y tóxicos se levantó desde la basura y comenzó a esparcirse rápidamente por una extensa zona del suroriente de la ciudad produciendo afectación masiva en vías respiratorias, afectando de forma especial a adultos de la tercera edad y niños.</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Doce años después, el 31 de julio de 2009 se presentó un nuevo deslizamiento en la zona VIII del relleno sanitario en dirección longitudinal del Dique sur. La falla, de tipo rotacional, afectó una longitud aproximada de 80 metros y presentó hundimientos de 5 metros en la cresta y levantamientos cercanos a los 3 metros.</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Frente a los hechos ocurridos en el RSDJ, la Contraloría emitió un pronunciamiento bajo radicado 200980232 del 14 de diciembre de 2009, identificando los riesgos de la operación, se afirmó que la capacidad máxima de acopio de basuras se agotaría en el 2010 y que por ende se debían habilitar otras zonas de acopio. El 17 de abril de 2013, la UAESP solicitó formalmente la tercera modificación de la licencia ambiental del RSDJ, para realizar una segunda fase de optimización de las zonas VII y VIII, para poder prolongar la vida útil del relleno se debía cumplir con ciertos planes de manejo , que contemplaban dentro de su eje articulador la reducción , reutilización y el reciclaje.</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 xml:space="preserve">No obstante, el Contralor en el control de advertencia que emitiera bajo el radicado Radicado 10000-23364/2-2014-18559, indicó que: </w:t>
      </w:r>
    </w:p>
    <w:p w:rsidR="00C939F8" w:rsidRPr="009C1575" w:rsidRDefault="00C939F8" w:rsidP="007E39BA">
      <w:pPr>
        <w:ind w:left="720"/>
        <w:jc w:val="both"/>
        <w:rPr>
          <w:rFonts w:ascii="Arial Narrow" w:eastAsia="Arial" w:hAnsi="Arial Narrow" w:cs="Arial"/>
          <w:i/>
          <w:sz w:val="24"/>
          <w:szCs w:val="24"/>
        </w:rPr>
      </w:pPr>
      <w:r w:rsidRPr="009C1575">
        <w:rPr>
          <w:rFonts w:ascii="Arial Narrow" w:eastAsia="Arial" w:hAnsi="Arial Narrow" w:cs="Arial"/>
          <w:i/>
          <w:sz w:val="24"/>
          <w:szCs w:val="24"/>
        </w:rPr>
        <w:t xml:space="preserve">“Su implementación, se identificaba como vital por cuanto, además de contribuir a la solución de múltiples problemas ambientales asociados a la deficiente gestión de los desechos, </w:t>
      </w:r>
      <w:r w:rsidRPr="009C1575">
        <w:rPr>
          <w:rFonts w:ascii="Arial Narrow" w:eastAsia="Arial" w:hAnsi="Arial Narrow" w:cs="Arial"/>
          <w:i/>
          <w:sz w:val="24"/>
          <w:szCs w:val="24"/>
        </w:rPr>
        <w:lastRenderedPageBreak/>
        <w:t>apuntaba a reducir la amenaza que se cernía sobre la ciudad, por el agotamiento de la vida útil del relleno, que en el 2006, había sido estimada en cinco años o sea hasta el 2011.</w:t>
      </w:r>
    </w:p>
    <w:p w:rsidR="00C939F8" w:rsidRPr="009C1575" w:rsidRDefault="00C939F8" w:rsidP="007E39BA">
      <w:pPr>
        <w:ind w:left="720"/>
        <w:jc w:val="both"/>
        <w:rPr>
          <w:rFonts w:ascii="Arial Narrow" w:eastAsia="Arial" w:hAnsi="Arial Narrow" w:cs="Arial"/>
          <w:i/>
          <w:sz w:val="24"/>
          <w:szCs w:val="24"/>
        </w:rPr>
      </w:pPr>
      <w:r w:rsidRPr="009C1575">
        <w:rPr>
          <w:rFonts w:ascii="Arial Narrow" w:eastAsia="Arial" w:hAnsi="Arial Narrow" w:cs="Arial"/>
          <w:i/>
          <w:sz w:val="24"/>
          <w:szCs w:val="24"/>
        </w:rPr>
        <w:t>El plan de manejo municipal integral de residuos sólidos distinguió como instrumento operativo el “Programa Distrital de Reciclaje”, el que fue previsto en su Plan de Desarrollo “Bogotá Humana” 2012-2016, como “Programa Basura Cero”, no obstante, considera esta Contraloría que las metas de reducción de volumen de residuos con las que se pretendía alargar la vida útil del RSDJ, no han tenido el cumplimiento esperado, veamos:</w:t>
      </w:r>
    </w:p>
    <w:p w:rsidR="00C939F8" w:rsidRPr="009C1575" w:rsidRDefault="00C939F8" w:rsidP="007E39BA">
      <w:pPr>
        <w:ind w:left="720"/>
        <w:jc w:val="both"/>
        <w:rPr>
          <w:rFonts w:ascii="Arial Narrow" w:eastAsia="Arial" w:hAnsi="Arial Narrow" w:cs="Arial"/>
          <w:i/>
          <w:sz w:val="24"/>
          <w:szCs w:val="24"/>
        </w:rPr>
      </w:pPr>
      <w:r w:rsidRPr="009C1575">
        <w:rPr>
          <w:rFonts w:ascii="Arial Narrow" w:eastAsia="Arial" w:hAnsi="Arial Narrow" w:cs="Arial"/>
          <w:i/>
          <w:sz w:val="24"/>
          <w:szCs w:val="24"/>
        </w:rPr>
        <w:t>Para el año 2014 se proyectó un aprovechamiento de 1.111 toneladas diarias y según la información allegada por la misma Unidad Administrativa Especial de Servicios Públicos, en adelante UAESP, el aprovechamiento potencial es de tan sólo 142 toneladas diarias; es decir el 11,2% de lo previsto, lo que en la práctica contribuye a prolongar la vida útil del relleno en tan sólo ocho días por año, cuando lo esperado eran 65 días. Lo anterior significa, que las restantes 969 toneladas, cuya separación y potencial aprovechamiento no se le dio cumplimiento, le siguen llegando al RSDJ, con lo cual se disminuye aún más las posibilidades reales de prolongar la vida útil del mismo”</w:t>
      </w:r>
    </w:p>
    <w:p w:rsidR="00C939F8" w:rsidRPr="009C1575" w:rsidRDefault="00C939F8" w:rsidP="007E39BA">
      <w:pPr>
        <w:jc w:val="both"/>
        <w:rPr>
          <w:rFonts w:ascii="Arial Narrow" w:eastAsia="Arial" w:hAnsi="Arial Narrow" w:cs="Arial"/>
          <w:sz w:val="24"/>
          <w:szCs w:val="24"/>
        </w:rPr>
      </w:pPr>
      <w:r w:rsidRPr="009C1575">
        <w:rPr>
          <w:rFonts w:ascii="Arial Narrow" w:eastAsia="Arial" w:hAnsi="Arial Narrow" w:cs="Arial"/>
          <w:sz w:val="24"/>
          <w:szCs w:val="24"/>
        </w:rPr>
        <w:t>Es de destacar que en noviembre del año 2012 el DISTRITO DE BOGOTÁ fue condenado a pagar a título de indemnización de daño moral y afectación de los derechos constitucionales mencionados, la suma de $227.440.511.400 a los integrantes del grupo que se constituyeron como parte en el proceso por las afectaciones derivadas del incidente de 1997. Lo que implica no solo un detrimento sobre las finanzas distritales, sino un detrimento ambiental y en las condiciones de vida de miles de ciudadanos.</w:t>
      </w:r>
      <w:r w:rsidRPr="009C1575">
        <w:rPr>
          <w:rStyle w:val="Refdenotaalpie"/>
          <w:rFonts w:ascii="Arial Narrow" w:hAnsi="Arial Narrow"/>
          <w:sz w:val="24"/>
          <w:szCs w:val="24"/>
        </w:rPr>
        <w:footnoteReference w:id="8"/>
      </w:r>
    </w:p>
    <w:p w:rsidR="00997C22" w:rsidRDefault="00C939F8" w:rsidP="007E39BA">
      <w:pPr>
        <w:spacing w:after="0"/>
        <w:contextualSpacing/>
        <w:rPr>
          <w:rFonts w:ascii="Arial Narrow" w:hAnsi="Arial Narrow"/>
          <w:sz w:val="24"/>
          <w:szCs w:val="24"/>
        </w:rPr>
      </w:pPr>
      <w:r w:rsidRPr="009C1575">
        <w:rPr>
          <w:rFonts w:ascii="Arial Narrow" w:eastAsia="Arial" w:hAnsi="Arial Narrow" w:cs="Arial"/>
          <w:sz w:val="24"/>
          <w:szCs w:val="24"/>
        </w:rPr>
        <w:t>Como se observa a partir del caso del relleno sanitario Doña Juana y de la recopilación de hechos relacionados, la disposición final de residuos es un gran generador de riesgos, que crecen conforme al volumen de residuos en disposición final, haciendo menester la contención de estos espacios, la reducción de la cantidad de residuos y su tratamiento. La demora en la implementación de políticas que busquen la transformación y el aprovechamiento de residuos cada vez genera mayores costos al erario público, costos de salud pública y costos sociales, en búsqueda de la contención de los mismos presentamos al congreso este proyecto de ley.</w:t>
      </w:r>
      <w:r w:rsidRPr="009C1575">
        <w:rPr>
          <w:rFonts w:ascii="Arial Narrow" w:hAnsi="Arial Narrow"/>
          <w:sz w:val="24"/>
          <w:szCs w:val="24"/>
        </w:rPr>
        <w:t xml:space="preserve"> </w:t>
      </w:r>
    </w:p>
    <w:p w:rsidR="00997C22" w:rsidRPr="0092733F" w:rsidRDefault="00997C22" w:rsidP="00117551">
      <w:pPr>
        <w:spacing w:after="0"/>
        <w:contextualSpacing/>
        <w:rPr>
          <w:rFonts w:ascii="Arial Narrow" w:hAnsi="Arial Narrow"/>
          <w:sz w:val="24"/>
          <w:szCs w:val="24"/>
        </w:rPr>
      </w:pPr>
    </w:p>
    <w:p w:rsidR="00F367F4" w:rsidRDefault="00F367F4" w:rsidP="00F367F4">
      <w:pPr>
        <w:numPr>
          <w:ilvl w:val="0"/>
          <w:numId w:val="17"/>
        </w:numPr>
        <w:pBdr>
          <w:top w:val="nil"/>
          <w:left w:val="nil"/>
          <w:bottom w:val="nil"/>
          <w:right w:val="nil"/>
          <w:between w:val="nil"/>
        </w:pBdr>
        <w:spacing w:after="0"/>
        <w:contextualSpacing/>
        <w:jc w:val="center"/>
        <w:rPr>
          <w:rFonts w:ascii="Arial Narrow" w:hAnsi="Arial Narrow"/>
          <w:b/>
          <w:sz w:val="24"/>
          <w:szCs w:val="24"/>
        </w:rPr>
      </w:pPr>
      <w:r w:rsidRPr="00F367F4">
        <w:rPr>
          <w:rFonts w:ascii="Arial Narrow" w:hAnsi="Arial Narrow"/>
          <w:b/>
          <w:sz w:val="24"/>
          <w:szCs w:val="24"/>
        </w:rPr>
        <w:t xml:space="preserve">CONCEPTO </w:t>
      </w:r>
      <w:r>
        <w:rPr>
          <w:rFonts w:ascii="Arial Narrow" w:hAnsi="Arial Narrow"/>
          <w:b/>
          <w:sz w:val="24"/>
          <w:szCs w:val="24"/>
        </w:rPr>
        <w:t>SUPERINTENDENCIA DE SERVICIOS PÚ</w:t>
      </w:r>
      <w:r w:rsidRPr="00F367F4">
        <w:rPr>
          <w:rFonts w:ascii="Arial Narrow" w:hAnsi="Arial Narrow"/>
          <w:b/>
          <w:sz w:val="24"/>
          <w:szCs w:val="24"/>
        </w:rPr>
        <w:t>BLICOS DOMICILIARIOS</w:t>
      </w:r>
    </w:p>
    <w:p w:rsidR="00F367F4" w:rsidRPr="00F367F4" w:rsidRDefault="00F367F4" w:rsidP="00F367F4">
      <w:pPr>
        <w:pBdr>
          <w:top w:val="nil"/>
          <w:left w:val="nil"/>
          <w:bottom w:val="nil"/>
          <w:right w:val="nil"/>
          <w:between w:val="nil"/>
        </w:pBdr>
        <w:spacing w:after="0"/>
        <w:ind w:left="720"/>
        <w:contextualSpacing/>
        <w:rPr>
          <w:rFonts w:ascii="Arial Narrow" w:hAnsi="Arial Narrow"/>
          <w:b/>
          <w:sz w:val="24"/>
          <w:szCs w:val="24"/>
        </w:rPr>
      </w:pPr>
    </w:p>
    <w:p w:rsidR="00F367F4" w:rsidRPr="00C9170A" w:rsidRDefault="00F367F4" w:rsidP="00F367F4">
      <w:pPr>
        <w:jc w:val="both"/>
        <w:rPr>
          <w:rFonts w:ascii="Arial Narrow" w:hAnsi="Arial Narrow"/>
          <w:sz w:val="24"/>
          <w:szCs w:val="24"/>
        </w:rPr>
      </w:pPr>
      <w:r w:rsidRPr="00C9170A">
        <w:rPr>
          <w:rFonts w:ascii="Arial Narrow" w:hAnsi="Arial Narrow"/>
          <w:sz w:val="24"/>
          <w:szCs w:val="24"/>
        </w:rPr>
        <w:t xml:space="preserve">La Superintendencia de Servicios Públicos Domiciliarios Superservicios, es una entidad de rango constitucional, que por delegación presidencial ejerce las funciones de inspección, vigilancia y control </w:t>
      </w:r>
      <w:r w:rsidRPr="00C9170A">
        <w:rPr>
          <w:rFonts w:ascii="Arial Narrow" w:hAnsi="Arial Narrow"/>
          <w:sz w:val="24"/>
          <w:szCs w:val="24"/>
        </w:rPr>
        <w:lastRenderedPageBreak/>
        <w:t xml:space="preserve">sobre las entidades y empresas prestadoras de servicios públicos domiciliarios de acueducto, alcantarillado, aseo, energía y gas y se encuentra adscrita al Departamento Nacional de Planeación - DNP. </w:t>
      </w:r>
    </w:p>
    <w:p w:rsidR="00F367F4" w:rsidRPr="00C9170A" w:rsidRDefault="00F367F4" w:rsidP="00F367F4">
      <w:pPr>
        <w:jc w:val="both"/>
        <w:rPr>
          <w:rFonts w:ascii="Arial Narrow" w:hAnsi="Arial Narrow"/>
          <w:sz w:val="24"/>
          <w:szCs w:val="24"/>
        </w:rPr>
      </w:pPr>
      <w:r w:rsidRPr="00C9170A">
        <w:rPr>
          <w:rFonts w:ascii="Arial Narrow" w:hAnsi="Arial Narrow"/>
          <w:sz w:val="24"/>
          <w:szCs w:val="24"/>
        </w:rPr>
        <w:t xml:space="preserve">Por tal razón y dado que esta Entidad tiene relación directa con la disposición final de residuos sólidos puesto que sus funciones están enfocadas a las Empresas encargadas de realizar estas operaciones, se solicitó concepto sobre la iniciativa, remitiéndose las siguientes observaciones: </w:t>
      </w:r>
    </w:p>
    <w:p w:rsidR="00F367F4" w:rsidRPr="00C9170A" w:rsidRDefault="00F367F4" w:rsidP="00F367F4">
      <w:pPr>
        <w:pStyle w:val="Prrafodelista"/>
        <w:numPr>
          <w:ilvl w:val="0"/>
          <w:numId w:val="23"/>
        </w:numPr>
        <w:spacing w:after="160" w:line="259" w:lineRule="auto"/>
        <w:jc w:val="both"/>
        <w:rPr>
          <w:rFonts w:ascii="Arial Narrow" w:hAnsi="Arial Narrow"/>
          <w:sz w:val="24"/>
          <w:szCs w:val="24"/>
        </w:rPr>
      </w:pPr>
      <w:r w:rsidRPr="00C9170A">
        <w:rPr>
          <w:rFonts w:ascii="Arial Narrow" w:hAnsi="Arial Narrow"/>
          <w:sz w:val="24"/>
          <w:szCs w:val="24"/>
        </w:rPr>
        <w:t xml:space="preserve">Respecto del título del proyecto la Superintendencia argumenta que es confuso dado que si bien hace referencia a la actividad complementaria específica de disposición final de residuos sólidos, a lo largo de la iniciativa se combinan tanto las actividades complementarias de disposición final, como de tratamiento y aprovechamiento, sin discriminar la definición, alcance y forma de aplicación de cada una. Adicionalmente argumenta que el proyecto no tiene en cuenta la evolución de la normativa ni la política establecida en el Conpes 3874 de 2017 pues no prioriza el destino de los residuos según su jerarquía ni tiene en cuenta la eficiencia de los procesos y regula tarifariamente por esta vía cuando le corresponde a la Comisión de Regulación de Agua Potable y Saneamiento Básico, CRA, hacerlo. </w:t>
      </w:r>
    </w:p>
    <w:p w:rsidR="00F367F4" w:rsidRPr="00C9170A" w:rsidRDefault="00F367F4" w:rsidP="00F367F4">
      <w:pPr>
        <w:pStyle w:val="Prrafodelista"/>
        <w:numPr>
          <w:ilvl w:val="0"/>
          <w:numId w:val="23"/>
        </w:numPr>
        <w:spacing w:after="160" w:line="259" w:lineRule="auto"/>
        <w:jc w:val="both"/>
        <w:rPr>
          <w:rFonts w:ascii="Arial Narrow" w:hAnsi="Arial Narrow"/>
          <w:sz w:val="24"/>
          <w:szCs w:val="24"/>
        </w:rPr>
      </w:pPr>
      <w:r w:rsidRPr="00C9170A">
        <w:rPr>
          <w:rFonts w:ascii="Arial Narrow" w:hAnsi="Arial Narrow"/>
          <w:sz w:val="24"/>
          <w:szCs w:val="24"/>
        </w:rPr>
        <w:t xml:space="preserve">Respecto del artículo 2 sobre el tratamiento de los residuos sólidos urbanos tenemos que, el autor comete un yerro al citar el Decreto 596 de 2016 dado que manifiesta que es del 2018 y de igual forma se argumenta que la normativa citada no tiene que ver con lo que en la iniciativa se relaciona. De igual forma se argumenta que no se tienen en cuenta las definiciones ya existentes para cada una de las actividades complementarias del servicio público de aseo, confundiendo tratamiento, con aprovechamiento y transformación, esta última que no está definida y que no hace parte del servicio público de aseo dado que es una actividad privada.  </w:t>
      </w:r>
    </w:p>
    <w:p w:rsidR="00F367F4" w:rsidRPr="00C9170A" w:rsidRDefault="00F367F4" w:rsidP="00F367F4">
      <w:pPr>
        <w:pStyle w:val="Prrafodelista"/>
        <w:numPr>
          <w:ilvl w:val="0"/>
          <w:numId w:val="23"/>
        </w:numPr>
        <w:spacing w:after="160" w:line="259" w:lineRule="auto"/>
        <w:jc w:val="both"/>
        <w:rPr>
          <w:rFonts w:ascii="Arial Narrow" w:hAnsi="Arial Narrow"/>
          <w:sz w:val="24"/>
          <w:szCs w:val="24"/>
        </w:rPr>
      </w:pPr>
      <w:r w:rsidRPr="00C9170A">
        <w:rPr>
          <w:rFonts w:ascii="Arial Narrow" w:hAnsi="Arial Narrow"/>
          <w:sz w:val="24"/>
          <w:szCs w:val="24"/>
        </w:rPr>
        <w:t xml:space="preserve">Frente al artículo 3º se manifiesta que este no es muy claro. La Superservicios precisa que el sitio de disposición final es un lugar donde los residuos no se botan, sino que se tratan de forma técnica. Adicionalmente precisa que si con la expresión “tratado” hace referencia a provechados, se tiene que involucrar a todas las entidades competentes ya que los prestadores del servicio de aseo solo pueden ser ejecutores de políticas mas no formuladores de las mismas, ya que esto le corresponde a las entidades territoriales. </w:t>
      </w:r>
    </w:p>
    <w:p w:rsidR="00F367F4" w:rsidRDefault="00F367F4" w:rsidP="00F367F4">
      <w:pPr>
        <w:pStyle w:val="Prrafodelista"/>
        <w:numPr>
          <w:ilvl w:val="0"/>
          <w:numId w:val="23"/>
        </w:numPr>
        <w:spacing w:after="160" w:line="259" w:lineRule="auto"/>
        <w:jc w:val="both"/>
        <w:rPr>
          <w:rFonts w:ascii="Arial Narrow" w:hAnsi="Arial Narrow"/>
          <w:sz w:val="24"/>
          <w:szCs w:val="24"/>
        </w:rPr>
      </w:pPr>
      <w:r w:rsidRPr="00C9170A">
        <w:rPr>
          <w:rFonts w:ascii="Arial Narrow" w:hAnsi="Arial Narrow"/>
          <w:sz w:val="24"/>
          <w:szCs w:val="24"/>
        </w:rPr>
        <w:t>Manifiesta que los pequeños recicladores no pueden tener exclusividad en la recolección de los residuos ya que tal disposición resulta inconstitucional por resultar violatorio del principio de libertad de empresa.</w:t>
      </w:r>
    </w:p>
    <w:p w:rsidR="002240EB" w:rsidRDefault="006D6267" w:rsidP="00F367F4">
      <w:pPr>
        <w:pStyle w:val="Prrafodelista"/>
        <w:numPr>
          <w:ilvl w:val="0"/>
          <w:numId w:val="23"/>
        </w:numPr>
        <w:spacing w:after="160" w:line="259" w:lineRule="auto"/>
        <w:jc w:val="both"/>
        <w:rPr>
          <w:rFonts w:ascii="Arial Narrow" w:hAnsi="Arial Narrow"/>
          <w:sz w:val="24"/>
          <w:szCs w:val="24"/>
        </w:rPr>
      </w:pPr>
      <w:r>
        <w:rPr>
          <w:rFonts w:ascii="Arial Narrow" w:hAnsi="Arial Narrow"/>
          <w:sz w:val="24"/>
          <w:szCs w:val="24"/>
        </w:rPr>
        <w:t xml:space="preserve">Frente al </w:t>
      </w:r>
      <w:r w:rsidR="002240EB">
        <w:rPr>
          <w:rFonts w:ascii="Arial Narrow" w:hAnsi="Arial Narrow"/>
          <w:sz w:val="24"/>
          <w:szCs w:val="24"/>
        </w:rPr>
        <w:t>artículo</w:t>
      </w:r>
      <w:r>
        <w:rPr>
          <w:rFonts w:ascii="Arial Narrow" w:hAnsi="Arial Narrow"/>
          <w:sz w:val="24"/>
          <w:szCs w:val="24"/>
        </w:rPr>
        <w:t xml:space="preserve"> 5º la Superintendencia manifiesta que es responsabilidad del ente territorial, </w:t>
      </w:r>
      <w:r w:rsidR="002240EB">
        <w:rPr>
          <w:rFonts w:ascii="Arial Narrow" w:hAnsi="Arial Narrow"/>
          <w:sz w:val="24"/>
          <w:szCs w:val="24"/>
        </w:rPr>
        <w:t>más</w:t>
      </w:r>
      <w:r>
        <w:rPr>
          <w:rFonts w:ascii="Arial Narrow" w:hAnsi="Arial Narrow"/>
          <w:sz w:val="24"/>
          <w:szCs w:val="24"/>
        </w:rPr>
        <w:t xml:space="preserve"> que del prestador, el establecer la viabilidad de proyectos y tecnologías de </w:t>
      </w:r>
      <w:r w:rsidR="002240EB">
        <w:rPr>
          <w:rFonts w:ascii="Arial Narrow" w:hAnsi="Arial Narrow"/>
          <w:sz w:val="24"/>
          <w:szCs w:val="24"/>
        </w:rPr>
        <w:t>aprovechamiento</w:t>
      </w:r>
      <w:r>
        <w:rPr>
          <w:rFonts w:ascii="Arial Narrow" w:hAnsi="Arial Narrow"/>
          <w:sz w:val="24"/>
          <w:szCs w:val="24"/>
        </w:rPr>
        <w:t xml:space="preserve"> de residuos </w:t>
      </w:r>
      <w:r w:rsidR="002240EB">
        <w:rPr>
          <w:rFonts w:ascii="Arial Narrow" w:hAnsi="Arial Narrow"/>
          <w:sz w:val="24"/>
          <w:szCs w:val="24"/>
        </w:rPr>
        <w:t>sólidos</w:t>
      </w:r>
      <w:r>
        <w:rPr>
          <w:rFonts w:ascii="Arial Narrow" w:hAnsi="Arial Narrow"/>
          <w:sz w:val="24"/>
          <w:szCs w:val="24"/>
        </w:rPr>
        <w:t xml:space="preserve">, lo cual debe estar inmerso en el PGIRS (artículos 2..3.2.2.3.91 y siguientes del Decreto 1077 de 2015), luego no </w:t>
      </w:r>
      <w:r w:rsidR="002240EB">
        <w:rPr>
          <w:rFonts w:ascii="Arial Narrow" w:hAnsi="Arial Narrow"/>
          <w:sz w:val="24"/>
          <w:szCs w:val="24"/>
        </w:rPr>
        <w:t>sería</w:t>
      </w:r>
      <w:r>
        <w:rPr>
          <w:rFonts w:ascii="Arial Narrow" w:hAnsi="Arial Narrow"/>
          <w:sz w:val="24"/>
          <w:szCs w:val="24"/>
        </w:rPr>
        <w:t xml:space="preserve"> responsabilidad del </w:t>
      </w:r>
      <w:r w:rsidR="002240EB">
        <w:rPr>
          <w:rFonts w:ascii="Arial Narrow" w:hAnsi="Arial Narrow"/>
          <w:sz w:val="24"/>
          <w:szCs w:val="24"/>
        </w:rPr>
        <w:t>prestador</w:t>
      </w:r>
      <w:r>
        <w:rPr>
          <w:rFonts w:ascii="Arial Narrow" w:hAnsi="Arial Narrow"/>
          <w:sz w:val="24"/>
          <w:szCs w:val="24"/>
        </w:rPr>
        <w:t xml:space="preserve">; adicionalmente </w:t>
      </w:r>
      <w:r w:rsidR="002240EB">
        <w:rPr>
          <w:rFonts w:ascii="Arial Narrow" w:hAnsi="Arial Narrow"/>
          <w:sz w:val="24"/>
          <w:szCs w:val="24"/>
        </w:rPr>
        <w:t xml:space="preserve">dispone que los residuos sólidos que llegan al sitio de disposición final se entiende que son residuos no aprovechables, luego no es claro para esta Entidad a que hace referencia el autor de la iniciativa cuando habla de una reducción de los residuos </w:t>
      </w:r>
      <w:r w:rsidR="002240EB">
        <w:rPr>
          <w:rFonts w:ascii="Arial Narrow" w:hAnsi="Arial Narrow"/>
          <w:sz w:val="24"/>
          <w:szCs w:val="24"/>
        </w:rPr>
        <w:lastRenderedPageBreak/>
        <w:t xml:space="preserve">sólidos ni las disposiciones relativas a las licencias ambientales, las cuales de igual forma, rebosan el objeto de la iniciativa. </w:t>
      </w:r>
    </w:p>
    <w:p w:rsidR="006D6267" w:rsidRPr="00C9170A" w:rsidRDefault="002240EB" w:rsidP="00F367F4">
      <w:pPr>
        <w:pStyle w:val="Prrafodelista"/>
        <w:numPr>
          <w:ilvl w:val="0"/>
          <w:numId w:val="23"/>
        </w:numPr>
        <w:spacing w:after="160" w:line="259" w:lineRule="auto"/>
        <w:jc w:val="both"/>
        <w:rPr>
          <w:rFonts w:ascii="Arial Narrow" w:hAnsi="Arial Narrow"/>
          <w:sz w:val="24"/>
          <w:szCs w:val="24"/>
        </w:rPr>
      </w:pPr>
      <w:r>
        <w:rPr>
          <w:rFonts w:ascii="Arial Narrow" w:hAnsi="Arial Narrow"/>
          <w:sz w:val="24"/>
          <w:szCs w:val="24"/>
        </w:rPr>
        <w:t>Por último, frente al artículo 7º la Superintendencia conceptuó que el esquema tarifario vigente aborda este asunto, toda vez que la remuneración de la actividad de aprovechamiento se hace precisamente a partir de las toneladas de residuos efectivamente aprovechados, y con cargo a la tarifa que se haga por servicio de aseo; razón por la cual establecerla de otra manera, contravendría la remuneración tarifaria previstas en las Resoluciones CRA 720 de 2015 y 853 de 2018.</w:t>
      </w:r>
    </w:p>
    <w:p w:rsidR="00F367F4" w:rsidRPr="00C9170A" w:rsidRDefault="00F367F4" w:rsidP="00F367F4">
      <w:pPr>
        <w:jc w:val="both"/>
        <w:rPr>
          <w:rFonts w:ascii="Arial Narrow" w:hAnsi="Arial Narrow"/>
          <w:i/>
          <w:sz w:val="24"/>
          <w:szCs w:val="24"/>
        </w:rPr>
      </w:pPr>
      <w:r w:rsidRPr="00C9170A">
        <w:rPr>
          <w:rFonts w:ascii="Arial Narrow" w:hAnsi="Arial Narrow"/>
          <w:sz w:val="24"/>
          <w:szCs w:val="24"/>
        </w:rPr>
        <w:t xml:space="preserve">En conclusión, la Superservicios afirma que </w:t>
      </w:r>
      <w:r w:rsidRPr="00C9170A">
        <w:rPr>
          <w:rFonts w:ascii="Arial Narrow" w:hAnsi="Arial Narrow"/>
          <w:i/>
          <w:sz w:val="24"/>
          <w:szCs w:val="24"/>
        </w:rPr>
        <w:t>“El proyecto en su integridad contraviene la política, las leyes, decretos, resoluciones existentes. También contraviene la separación en la fuente y la implantación de estrategias de economía circular del país que incluye la aplicación de 9R (Repensar, Reutilizar, Reparar, Restaurar, Remanufacturar, Reducir, Re-proponer, Reciclar y Recuperar)”.</w:t>
      </w:r>
    </w:p>
    <w:p w:rsidR="00F367F4" w:rsidRDefault="00F367F4" w:rsidP="00F367F4">
      <w:pPr>
        <w:pStyle w:val="Prrafodelista"/>
        <w:numPr>
          <w:ilvl w:val="0"/>
          <w:numId w:val="17"/>
        </w:numPr>
        <w:jc w:val="center"/>
        <w:rPr>
          <w:rFonts w:ascii="Arial Narrow" w:hAnsi="Arial Narrow"/>
          <w:b/>
          <w:sz w:val="24"/>
          <w:szCs w:val="24"/>
        </w:rPr>
      </w:pPr>
      <w:r w:rsidRPr="00F367F4">
        <w:rPr>
          <w:rFonts w:ascii="Arial Narrow" w:hAnsi="Arial Narrow"/>
          <w:b/>
          <w:sz w:val="24"/>
          <w:szCs w:val="24"/>
        </w:rPr>
        <w:t>CONSIDERACIONES DE LA PONENTE</w:t>
      </w:r>
    </w:p>
    <w:p w:rsidR="00F32968" w:rsidRPr="00F367F4" w:rsidRDefault="00F32968" w:rsidP="00F32968">
      <w:pPr>
        <w:pStyle w:val="Prrafodelista"/>
        <w:rPr>
          <w:rFonts w:ascii="Arial Narrow" w:hAnsi="Arial Narrow"/>
          <w:b/>
          <w:sz w:val="24"/>
          <w:szCs w:val="24"/>
        </w:rPr>
      </w:pPr>
    </w:p>
    <w:p w:rsidR="00F32968" w:rsidRPr="00F32968" w:rsidRDefault="00165206" w:rsidP="00F32968">
      <w:pPr>
        <w:pStyle w:val="Prrafodelista"/>
        <w:numPr>
          <w:ilvl w:val="0"/>
          <w:numId w:val="24"/>
        </w:numPr>
        <w:jc w:val="both"/>
        <w:rPr>
          <w:rFonts w:ascii="Arial Narrow" w:hAnsi="Arial Narrow"/>
          <w:b/>
          <w:sz w:val="24"/>
          <w:szCs w:val="24"/>
        </w:rPr>
      </w:pPr>
      <w:r w:rsidRPr="00F32968">
        <w:rPr>
          <w:rFonts w:ascii="Arial Narrow" w:hAnsi="Arial Narrow"/>
          <w:b/>
          <w:sz w:val="24"/>
          <w:szCs w:val="24"/>
        </w:rPr>
        <w:t xml:space="preserve">DE LA IMPORTANCIA DE LA TEMÁTICA PUESTA EN CONSIDERACIÓN. </w:t>
      </w:r>
    </w:p>
    <w:p w:rsidR="00F367F4" w:rsidRDefault="00F367F4" w:rsidP="00F367F4">
      <w:pPr>
        <w:jc w:val="both"/>
        <w:rPr>
          <w:rFonts w:ascii="Arial Narrow" w:hAnsi="Arial Narrow"/>
          <w:sz w:val="24"/>
          <w:szCs w:val="24"/>
        </w:rPr>
      </w:pPr>
      <w:r>
        <w:rPr>
          <w:rFonts w:ascii="Arial Narrow" w:hAnsi="Arial Narrow"/>
          <w:sz w:val="24"/>
          <w:szCs w:val="24"/>
        </w:rPr>
        <w:t xml:space="preserve">El Proyecto de Ley que se pone en </w:t>
      </w:r>
      <w:r w:rsidR="00F32968">
        <w:rPr>
          <w:rFonts w:ascii="Arial Narrow" w:hAnsi="Arial Narrow"/>
          <w:sz w:val="24"/>
          <w:szCs w:val="24"/>
        </w:rPr>
        <w:t>discusión</w:t>
      </w:r>
      <w:r>
        <w:rPr>
          <w:rFonts w:ascii="Arial Narrow" w:hAnsi="Arial Narrow"/>
          <w:sz w:val="24"/>
          <w:szCs w:val="24"/>
        </w:rPr>
        <w:t xml:space="preserve">, tal como se expuso anteriormente, persigue una finalidad muy loable, la cual es la disminución de los residuos sólidos que van a parar a los sitios de disposición final, aun cuando pudieron haber sido reutilizados, reciclados o transformados. Adicionalmente busca que mediante el mejor aprovechamiento de los residuos se puedan obtener productos de calidad, tal como podría ocurrir con el compostaje y la producción de gas y abonos orgánicos. </w:t>
      </w:r>
    </w:p>
    <w:p w:rsidR="00F367F4" w:rsidRDefault="00F367F4" w:rsidP="00F367F4">
      <w:pPr>
        <w:jc w:val="both"/>
        <w:rPr>
          <w:rFonts w:ascii="Arial Narrow" w:hAnsi="Arial Narrow"/>
          <w:sz w:val="24"/>
          <w:szCs w:val="24"/>
        </w:rPr>
      </w:pPr>
      <w:r>
        <w:rPr>
          <w:rFonts w:ascii="Arial Narrow" w:hAnsi="Arial Narrow"/>
          <w:sz w:val="24"/>
          <w:szCs w:val="24"/>
        </w:rPr>
        <w:t>Además de los beneficios que acarrearía para el ambiente la disminución de los residuos sólidos y su aprovechamiento, Colombia pierde alrededor de 2 billones anuales por no reciclar desechos plásticos</w:t>
      </w:r>
      <w:r>
        <w:rPr>
          <w:rStyle w:val="Refdenotaalpie"/>
          <w:rFonts w:ascii="Arial Narrow" w:hAnsi="Arial Narrow"/>
          <w:sz w:val="24"/>
          <w:szCs w:val="24"/>
        </w:rPr>
        <w:footnoteReference w:id="9"/>
      </w:r>
      <w:r>
        <w:rPr>
          <w:rFonts w:ascii="Arial Narrow" w:hAnsi="Arial Narrow"/>
          <w:sz w:val="24"/>
          <w:szCs w:val="24"/>
        </w:rPr>
        <w:t>. Según datos del Presidente Nacional de Acolplasticos, Daniel Mitchell, más de un millón de toneladas de plástico al año, están llegando a los rellenos sanitarios cuando bien podrían ser aprovechados, generando ingresos y generando empleo</w:t>
      </w:r>
      <w:r w:rsidR="002240EB">
        <w:rPr>
          <w:rFonts w:ascii="Arial Narrow" w:hAnsi="Arial Narrow"/>
          <w:sz w:val="24"/>
          <w:szCs w:val="24"/>
        </w:rPr>
        <w:t xml:space="preserve"> a la población</w:t>
      </w:r>
      <w:r>
        <w:rPr>
          <w:rFonts w:ascii="Arial Narrow" w:hAnsi="Arial Narrow"/>
          <w:sz w:val="24"/>
          <w:szCs w:val="24"/>
        </w:rPr>
        <w:t xml:space="preserve">.  </w:t>
      </w:r>
    </w:p>
    <w:p w:rsidR="00F367F4" w:rsidRDefault="00F367F4" w:rsidP="00F367F4">
      <w:pPr>
        <w:jc w:val="both"/>
        <w:rPr>
          <w:rFonts w:ascii="Arial Narrow" w:hAnsi="Arial Narrow"/>
          <w:sz w:val="24"/>
          <w:szCs w:val="24"/>
        </w:rPr>
      </w:pPr>
      <w:r>
        <w:rPr>
          <w:rFonts w:ascii="Arial Narrow" w:hAnsi="Arial Narrow"/>
          <w:sz w:val="24"/>
          <w:szCs w:val="24"/>
        </w:rPr>
        <w:t xml:space="preserve">De igual forma, en el concepto formulado por la Superintendencia de Servicios Públicos Domiciliarios se informó que son muy pocas las prestadoras que han dado inicio o están trabajando en la implementación de nuevas tecnologías para el manejo de los residuos sólidos, por lo que se halla razón cuando se afirma de la necesidad de obligar a los prestadores y a las entidades estatales </w:t>
      </w:r>
      <w:r>
        <w:rPr>
          <w:rFonts w:ascii="Arial Narrow" w:hAnsi="Arial Narrow"/>
          <w:sz w:val="24"/>
          <w:szCs w:val="24"/>
        </w:rPr>
        <w:lastRenderedPageBreak/>
        <w:t xml:space="preserve">competentes </w:t>
      </w:r>
      <w:r w:rsidR="00F32968">
        <w:rPr>
          <w:rFonts w:ascii="Arial Narrow" w:hAnsi="Arial Narrow"/>
          <w:sz w:val="24"/>
          <w:szCs w:val="24"/>
        </w:rPr>
        <w:t>a adoptar</w:t>
      </w:r>
      <w:r>
        <w:rPr>
          <w:rFonts w:ascii="Arial Narrow" w:hAnsi="Arial Narrow"/>
          <w:sz w:val="24"/>
          <w:szCs w:val="24"/>
        </w:rPr>
        <w:t xml:space="preserve"> tecnologías más eficientes para el aprovechamiento y disposición final de los residuos. </w:t>
      </w:r>
    </w:p>
    <w:p w:rsidR="00F367F4" w:rsidRDefault="00F367F4" w:rsidP="00F367F4">
      <w:pPr>
        <w:jc w:val="both"/>
        <w:rPr>
          <w:rFonts w:ascii="Arial Narrow" w:hAnsi="Arial Narrow"/>
          <w:sz w:val="24"/>
          <w:szCs w:val="24"/>
        </w:rPr>
      </w:pPr>
      <w:r>
        <w:rPr>
          <w:rFonts w:ascii="Arial Narrow" w:hAnsi="Arial Narrow"/>
          <w:sz w:val="24"/>
          <w:szCs w:val="24"/>
        </w:rPr>
        <w:t>La Superservicios inform</w:t>
      </w:r>
      <w:r w:rsidR="007E39BA">
        <w:rPr>
          <w:rFonts w:ascii="Arial Narrow" w:hAnsi="Arial Narrow"/>
          <w:sz w:val="24"/>
          <w:szCs w:val="24"/>
        </w:rPr>
        <w:t>ó</w:t>
      </w:r>
      <w:r>
        <w:rPr>
          <w:rFonts w:ascii="Arial Narrow" w:hAnsi="Arial Narrow"/>
          <w:sz w:val="24"/>
          <w:szCs w:val="24"/>
        </w:rPr>
        <w:t xml:space="preserve"> de manera adicional que entre las principales problemáticas que </w:t>
      </w:r>
      <w:r w:rsidR="00F32968">
        <w:rPr>
          <w:rFonts w:ascii="Arial Narrow" w:hAnsi="Arial Narrow"/>
          <w:sz w:val="24"/>
          <w:szCs w:val="24"/>
        </w:rPr>
        <w:t>han sido evidenciadas por esta E</w:t>
      </w:r>
      <w:r>
        <w:rPr>
          <w:rFonts w:ascii="Arial Narrow" w:hAnsi="Arial Narrow"/>
          <w:sz w:val="24"/>
          <w:szCs w:val="24"/>
        </w:rPr>
        <w:t xml:space="preserve">ntidad se encuentra la falta de cobertura diaria de los residuos, carencia de maquinaria para la operación especializada del sitio de disposición final, presencia de vectores y olores, presencia de personal realizando reciclaje en el frente de trabajo y manejo </w:t>
      </w:r>
      <w:r w:rsidR="00F32968">
        <w:rPr>
          <w:rFonts w:ascii="Arial Narrow" w:hAnsi="Arial Narrow"/>
          <w:sz w:val="24"/>
          <w:szCs w:val="24"/>
        </w:rPr>
        <w:t>in</w:t>
      </w:r>
      <w:r>
        <w:rPr>
          <w:rFonts w:ascii="Arial Narrow" w:hAnsi="Arial Narrow"/>
          <w:sz w:val="24"/>
          <w:szCs w:val="24"/>
        </w:rPr>
        <w:t xml:space="preserve">adecuado de lixiviados; siendo sancionadas las empresas principalmente por fallas en el servicio en cuanto a calidad, continuidad y cobertura y fallas en el servicio por no contar con Planes de Emergencia y contingencia adecuado, fallas en el control de vectores y roedores, tratamiento inadecuado de lixiviados e incumplimiento de parámetros de calidad de vertimientos. </w:t>
      </w:r>
    </w:p>
    <w:p w:rsidR="001B7DD1" w:rsidRDefault="00646651" w:rsidP="00F367F4">
      <w:pPr>
        <w:jc w:val="both"/>
        <w:rPr>
          <w:rFonts w:ascii="Arial Narrow" w:hAnsi="Arial Narrow"/>
          <w:sz w:val="24"/>
          <w:szCs w:val="24"/>
        </w:rPr>
      </w:pPr>
      <w:r>
        <w:rPr>
          <w:rFonts w:ascii="Arial Narrow" w:hAnsi="Arial Narrow"/>
          <w:sz w:val="24"/>
          <w:szCs w:val="24"/>
        </w:rPr>
        <w:t xml:space="preserve">Dentro de las Empresas que han sido sancionadas en los </w:t>
      </w:r>
      <w:r w:rsidR="001B7DD1">
        <w:rPr>
          <w:rFonts w:ascii="Arial Narrow" w:hAnsi="Arial Narrow"/>
          <w:sz w:val="24"/>
          <w:szCs w:val="24"/>
        </w:rPr>
        <w:t xml:space="preserve">últimos </w:t>
      </w:r>
      <w:r>
        <w:rPr>
          <w:rFonts w:ascii="Arial Narrow" w:hAnsi="Arial Narrow"/>
          <w:sz w:val="24"/>
          <w:szCs w:val="24"/>
        </w:rPr>
        <w:t xml:space="preserve">5 años, por parte de la Superintendencia de Servicios Públicos domiciliarios se encuentran </w:t>
      </w:r>
      <w:r w:rsidR="001B7DD1">
        <w:rPr>
          <w:rFonts w:ascii="Arial Narrow" w:hAnsi="Arial Narrow"/>
          <w:sz w:val="24"/>
          <w:szCs w:val="24"/>
        </w:rPr>
        <w:t>las siguientes:</w:t>
      </w:r>
    </w:p>
    <w:tbl>
      <w:tblPr>
        <w:tblStyle w:val="Tablaconcuadrcula"/>
        <w:tblW w:w="0" w:type="auto"/>
        <w:tblLook w:val="04A0" w:firstRow="1" w:lastRow="0" w:firstColumn="1" w:lastColumn="0" w:noHBand="0" w:noVBand="1"/>
      </w:tblPr>
      <w:tblGrid>
        <w:gridCol w:w="3451"/>
        <w:gridCol w:w="3815"/>
        <w:gridCol w:w="1562"/>
      </w:tblGrid>
      <w:tr w:rsidR="009D1CEA" w:rsidTr="009D1CEA">
        <w:tc>
          <w:tcPr>
            <w:tcW w:w="0" w:type="auto"/>
            <w:shd w:val="clear" w:color="auto" w:fill="D0CECE" w:themeFill="background2" w:themeFillShade="E6"/>
          </w:tcPr>
          <w:p w:rsidR="009D1CEA" w:rsidRPr="001B7DD1" w:rsidRDefault="009D1CEA" w:rsidP="00646651">
            <w:pPr>
              <w:spacing w:after="0"/>
              <w:jc w:val="center"/>
              <w:rPr>
                <w:rFonts w:ascii="Arial Narrow" w:hAnsi="Arial Narrow"/>
                <w:b/>
                <w:sz w:val="24"/>
                <w:szCs w:val="24"/>
              </w:rPr>
            </w:pPr>
            <w:r w:rsidRPr="001B7DD1">
              <w:rPr>
                <w:rFonts w:ascii="Arial Narrow" w:hAnsi="Arial Narrow"/>
                <w:b/>
                <w:sz w:val="24"/>
                <w:szCs w:val="24"/>
              </w:rPr>
              <w:t>Nombre de la Empresa</w:t>
            </w:r>
          </w:p>
        </w:tc>
        <w:tc>
          <w:tcPr>
            <w:tcW w:w="0" w:type="auto"/>
            <w:shd w:val="clear" w:color="auto" w:fill="D0CECE" w:themeFill="background2" w:themeFillShade="E6"/>
          </w:tcPr>
          <w:p w:rsidR="009D1CEA" w:rsidRPr="001B7DD1" w:rsidRDefault="009D1CEA" w:rsidP="00646651">
            <w:pPr>
              <w:spacing w:after="0"/>
              <w:jc w:val="center"/>
              <w:rPr>
                <w:rFonts w:ascii="Arial Narrow" w:hAnsi="Arial Narrow"/>
                <w:b/>
                <w:sz w:val="24"/>
                <w:szCs w:val="24"/>
              </w:rPr>
            </w:pPr>
            <w:r w:rsidRPr="001B7DD1">
              <w:rPr>
                <w:rFonts w:ascii="Arial Narrow" w:hAnsi="Arial Narrow"/>
                <w:b/>
                <w:sz w:val="24"/>
                <w:szCs w:val="24"/>
              </w:rPr>
              <w:t>Municipio</w:t>
            </w:r>
          </w:p>
        </w:tc>
        <w:tc>
          <w:tcPr>
            <w:tcW w:w="0" w:type="auto"/>
            <w:shd w:val="clear" w:color="auto" w:fill="D0CECE" w:themeFill="background2" w:themeFillShade="E6"/>
          </w:tcPr>
          <w:p w:rsidR="009D1CEA" w:rsidRPr="001B7DD1" w:rsidRDefault="009D1CEA" w:rsidP="00646651">
            <w:pPr>
              <w:spacing w:after="0"/>
              <w:jc w:val="center"/>
              <w:rPr>
                <w:rFonts w:ascii="Arial Narrow" w:hAnsi="Arial Narrow"/>
                <w:b/>
                <w:sz w:val="24"/>
                <w:szCs w:val="24"/>
              </w:rPr>
            </w:pPr>
            <w:r w:rsidRPr="001B7DD1">
              <w:rPr>
                <w:rFonts w:ascii="Arial Narrow" w:hAnsi="Arial Narrow"/>
                <w:b/>
                <w:sz w:val="24"/>
                <w:szCs w:val="24"/>
              </w:rPr>
              <w:t>Departamento</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 de Acueducto, Alcantarillado y Aseo de Bogotá ESP</w:t>
            </w:r>
          </w:p>
        </w:tc>
        <w:tc>
          <w:tcPr>
            <w:tcW w:w="0" w:type="auto"/>
          </w:tcPr>
          <w:p w:rsidR="009D1CEA" w:rsidRDefault="009D1CEA" w:rsidP="009D1CEA">
            <w:pPr>
              <w:spacing w:after="0"/>
              <w:jc w:val="both"/>
              <w:rPr>
                <w:rFonts w:ascii="Arial Narrow" w:hAnsi="Arial Narrow"/>
                <w:sz w:val="24"/>
                <w:szCs w:val="24"/>
              </w:rPr>
            </w:pPr>
            <w:r>
              <w:rPr>
                <w:rFonts w:ascii="Arial Narrow" w:hAnsi="Arial Narrow"/>
                <w:sz w:val="24"/>
                <w:szCs w:val="24"/>
              </w:rPr>
              <w:t>Bogotá, Soacha, Gachancipa</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Cundinamarca</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Buenaventura Medio Ambiente S.A E.S.P</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Buenaventura</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Valle del Cauca</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 de Servicios Públicos de Granada</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Granada, El Dorado, Vista Hermosa, entre otros</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Meta</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 de Acueducto, Alcantarillado y Aseo de Zipaquirá</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Zipaquira, Nemocon, Cogua</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 xml:space="preserve">Cundinamarca </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Centro de Gerenciamiento de Residuos de Doña Juana S.A. E.S.P</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Bogota, Choachi, Caqueza, Gutierrez, Ubaque, Chipaque, Une, Fosca</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Cundinamarca</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 de Aseo de Bucaramanga S.A. ESP</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Bucaramanga, California, Rionegro, Tona, Girón, Floridablanca, entre otros.</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Santander</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 de Acueducto, Alcantarillado y Aseo de Yopal EICE</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Yopal, Aguazul, Chameza, Hato Corozal, La Salina, Mani, Monterrey, entre otros</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Casanare</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 xml:space="preserve">Instituto de Servicios Varios de Ipiales </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Ipiales, Aldana, Potosi, Cordoba, Pupiales</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Nariño</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Biorganicos del Ser del Huila S.A. E.S.P En Reestructuración</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Saladoblanco, Palestina, Isnos, Oporapa, Pitalito, Elias, entre otros</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Huila</w:t>
            </w:r>
          </w:p>
        </w:tc>
      </w:tr>
      <w:tr w:rsidR="009D1CEA" w:rsidTr="001B7DD1">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Empresas de Servicios Públicos de El Banco Magdalena ESP</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El Banco</w:t>
            </w:r>
          </w:p>
        </w:tc>
        <w:tc>
          <w:tcPr>
            <w:tcW w:w="0" w:type="auto"/>
          </w:tcPr>
          <w:p w:rsidR="009D1CEA" w:rsidRDefault="009D1CEA" w:rsidP="001B7DD1">
            <w:pPr>
              <w:spacing w:after="0"/>
              <w:jc w:val="both"/>
              <w:rPr>
                <w:rFonts w:ascii="Arial Narrow" w:hAnsi="Arial Narrow"/>
                <w:sz w:val="24"/>
                <w:szCs w:val="24"/>
              </w:rPr>
            </w:pPr>
            <w:r>
              <w:rPr>
                <w:rFonts w:ascii="Arial Narrow" w:hAnsi="Arial Narrow"/>
                <w:sz w:val="24"/>
                <w:szCs w:val="24"/>
              </w:rPr>
              <w:t xml:space="preserve">Magdalena </w:t>
            </w:r>
          </w:p>
        </w:tc>
      </w:tr>
    </w:tbl>
    <w:p w:rsidR="001B7DD1" w:rsidRPr="00646651" w:rsidRDefault="00646651" w:rsidP="00646651">
      <w:pPr>
        <w:jc w:val="center"/>
        <w:rPr>
          <w:rFonts w:ascii="Arial Narrow" w:hAnsi="Arial Narrow"/>
          <w:b/>
          <w:sz w:val="20"/>
          <w:szCs w:val="20"/>
        </w:rPr>
      </w:pPr>
      <w:r>
        <w:rPr>
          <w:rFonts w:ascii="Arial Narrow" w:hAnsi="Arial Narrow"/>
          <w:b/>
          <w:sz w:val="20"/>
          <w:szCs w:val="20"/>
        </w:rPr>
        <w:t>Tabla elaborada a partir de da</w:t>
      </w:r>
      <w:r w:rsidR="009D1CEA">
        <w:rPr>
          <w:rFonts w:ascii="Arial Narrow" w:hAnsi="Arial Narrow"/>
          <w:b/>
          <w:sz w:val="20"/>
          <w:szCs w:val="20"/>
        </w:rPr>
        <w:t>tos suministrados por la Superintendencia</w:t>
      </w:r>
      <w:r>
        <w:rPr>
          <w:rFonts w:ascii="Arial Narrow" w:hAnsi="Arial Narrow"/>
          <w:b/>
          <w:sz w:val="20"/>
          <w:szCs w:val="20"/>
        </w:rPr>
        <w:t xml:space="preserve"> de Servicios </w:t>
      </w:r>
      <w:r w:rsidR="009D1CEA">
        <w:rPr>
          <w:rFonts w:ascii="Arial Narrow" w:hAnsi="Arial Narrow"/>
          <w:b/>
          <w:sz w:val="20"/>
          <w:szCs w:val="20"/>
        </w:rPr>
        <w:t>Públicos</w:t>
      </w:r>
      <w:r>
        <w:rPr>
          <w:rFonts w:ascii="Arial Narrow" w:hAnsi="Arial Narrow"/>
          <w:b/>
          <w:sz w:val="20"/>
          <w:szCs w:val="20"/>
        </w:rPr>
        <w:t xml:space="preserve"> </w:t>
      </w:r>
      <w:r w:rsidR="009D1CEA">
        <w:rPr>
          <w:rFonts w:ascii="Arial Narrow" w:hAnsi="Arial Narrow"/>
          <w:b/>
          <w:sz w:val="20"/>
          <w:szCs w:val="20"/>
        </w:rPr>
        <w:t xml:space="preserve">domiciliarios. </w:t>
      </w:r>
      <w:r>
        <w:rPr>
          <w:rFonts w:ascii="Arial Narrow" w:hAnsi="Arial Narrow"/>
          <w:b/>
          <w:sz w:val="20"/>
          <w:szCs w:val="20"/>
        </w:rPr>
        <w:t xml:space="preserve"> </w:t>
      </w:r>
    </w:p>
    <w:p w:rsidR="00F367F4" w:rsidRDefault="00F367F4" w:rsidP="00F367F4">
      <w:pPr>
        <w:jc w:val="both"/>
        <w:rPr>
          <w:rFonts w:ascii="Arial Narrow" w:hAnsi="Arial Narrow"/>
          <w:sz w:val="24"/>
          <w:szCs w:val="24"/>
        </w:rPr>
      </w:pPr>
      <w:r>
        <w:rPr>
          <w:rFonts w:ascii="Arial Narrow" w:hAnsi="Arial Narrow"/>
          <w:sz w:val="24"/>
          <w:szCs w:val="24"/>
        </w:rPr>
        <w:lastRenderedPageBreak/>
        <w:t xml:space="preserve">Es evidente que nuestro país presenta graves falencias en el manejo de los residuos sólidos evidenciados entre otras cosas, por las bajas tasas de reciclaje y reutilización que rondan en el 17% de las 12 toneladas de residuos sólidos  producidas anualmente. En las Bases del Plan Nacional de Desarrollo se diagnosticó que en comparación con los referentes internacionales Colombia </w:t>
      </w:r>
      <w:r w:rsidR="004255DD">
        <w:rPr>
          <w:rFonts w:ascii="Arial Narrow" w:hAnsi="Arial Narrow"/>
          <w:sz w:val="24"/>
          <w:szCs w:val="24"/>
        </w:rPr>
        <w:t>está</w:t>
      </w:r>
      <w:r>
        <w:rPr>
          <w:rFonts w:ascii="Arial Narrow" w:hAnsi="Arial Narrow"/>
          <w:sz w:val="24"/>
          <w:szCs w:val="24"/>
        </w:rPr>
        <w:t xml:space="preserve"> muy por debajo del promedio, como se grafica a continuación: </w:t>
      </w:r>
    </w:p>
    <w:p w:rsidR="00F367F4" w:rsidRDefault="00F367F4" w:rsidP="00F367F4">
      <w:pPr>
        <w:jc w:val="center"/>
        <w:rPr>
          <w:rFonts w:ascii="Arial Narrow" w:hAnsi="Arial Narrow"/>
          <w:sz w:val="24"/>
          <w:szCs w:val="24"/>
        </w:rPr>
      </w:pPr>
      <w:r>
        <w:rPr>
          <w:noProof/>
          <w:lang w:eastAsia="es-CO"/>
        </w:rPr>
        <w:drawing>
          <wp:inline distT="0" distB="0" distL="0" distR="0" wp14:anchorId="1A178B9B" wp14:editId="14536931">
            <wp:extent cx="5657850" cy="2752725"/>
            <wp:effectExtent l="0" t="0" r="0" b="952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
                    <a:srcRect l="4762" t="24456" r="13747" b="9699"/>
                    <a:stretch/>
                  </pic:blipFill>
                  <pic:spPr bwMode="auto">
                    <a:xfrm>
                      <a:off x="0" y="0"/>
                      <a:ext cx="5657850" cy="2752725"/>
                    </a:xfrm>
                    <a:prstGeom prst="rect">
                      <a:avLst/>
                    </a:prstGeom>
                    <a:ln>
                      <a:noFill/>
                    </a:ln>
                    <a:extLst>
                      <a:ext uri="{53640926-AAD7-44D8-BBD7-CCE9431645EC}">
                        <a14:shadowObscured xmlns:a14="http://schemas.microsoft.com/office/drawing/2010/main"/>
                      </a:ext>
                    </a:extLst>
                  </pic:spPr>
                </pic:pic>
              </a:graphicData>
            </a:graphic>
          </wp:inline>
        </w:drawing>
      </w:r>
    </w:p>
    <w:p w:rsidR="00F367F4" w:rsidRDefault="00F367F4" w:rsidP="00F367F4">
      <w:pPr>
        <w:jc w:val="both"/>
        <w:rPr>
          <w:rFonts w:ascii="Arial Narrow" w:hAnsi="Arial Narrow"/>
          <w:sz w:val="24"/>
          <w:szCs w:val="24"/>
        </w:rPr>
      </w:pPr>
      <w:r>
        <w:rPr>
          <w:rFonts w:ascii="Arial Narrow" w:hAnsi="Arial Narrow"/>
          <w:sz w:val="24"/>
          <w:szCs w:val="24"/>
        </w:rPr>
        <w:t xml:space="preserve">Por lo anterior, en el Plan Nacional de Desarrollo </w:t>
      </w:r>
      <w:r w:rsidRPr="009D1CEA">
        <w:rPr>
          <w:rFonts w:ascii="Arial Narrow" w:hAnsi="Arial Narrow"/>
          <w:i/>
          <w:sz w:val="24"/>
          <w:szCs w:val="24"/>
        </w:rPr>
        <w:t>“Pacto por Colombia, Pacto por la Equidad”</w:t>
      </w:r>
      <w:r>
        <w:rPr>
          <w:rFonts w:ascii="Arial Narrow" w:hAnsi="Arial Narrow"/>
          <w:sz w:val="24"/>
          <w:szCs w:val="24"/>
        </w:rPr>
        <w:t xml:space="preserve">, se estableció como uno de los objetivos del Pacto por la Sostenibilidad: producir conservando y conservar produciendo, en la Línea A: Sectores comprometidos con la sostenibilidad y la mitigación del cambio climático, </w:t>
      </w:r>
      <w:r>
        <w:rPr>
          <w:rFonts w:ascii="Arial Narrow" w:hAnsi="Arial Narrow"/>
          <w:b/>
          <w:sz w:val="24"/>
          <w:szCs w:val="24"/>
        </w:rPr>
        <w:t xml:space="preserve">acelerar la economía circular como base para la reducción, reutilización y reciclaje de residuos, </w:t>
      </w:r>
      <w:r>
        <w:rPr>
          <w:rFonts w:ascii="Arial Narrow" w:hAnsi="Arial Narrow"/>
          <w:sz w:val="24"/>
          <w:szCs w:val="24"/>
        </w:rPr>
        <w:t xml:space="preserve">articulado con las Políticas para la Gestión Integral de los Residuos Sólidos, Crecimiento Verde, Edificaciones Sostenibles y Cambio Climático. </w:t>
      </w:r>
    </w:p>
    <w:p w:rsidR="00391217" w:rsidRDefault="00391217" w:rsidP="00F367F4">
      <w:pPr>
        <w:jc w:val="both"/>
        <w:rPr>
          <w:rFonts w:ascii="Arial Narrow" w:hAnsi="Arial Narrow"/>
          <w:sz w:val="24"/>
          <w:szCs w:val="24"/>
        </w:rPr>
      </w:pPr>
      <w:r>
        <w:rPr>
          <w:rFonts w:ascii="Arial Narrow" w:hAnsi="Arial Narrow"/>
          <w:sz w:val="24"/>
          <w:szCs w:val="24"/>
        </w:rPr>
        <w:t xml:space="preserve">La economía circular es un paradigma basado en la reducción, reutilización y reciclaje de los residuos sólidos, que contrasta con el modelo de economía lineal basado en la producción, uso y desecho de los elementos basado en una economía de consumo a corto plazo. </w:t>
      </w:r>
      <w:r w:rsidRPr="00391217">
        <w:rPr>
          <w:rFonts w:ascii="Arial Narrow" w:hAnsi="Arial Narrow"/>
          <w:i/>
          <w:sz w:val="24"/>
          <w:szCs w:val="24"/>
        </w:rPr>
        <w:t xml:space="preserve">“Tomando como ejemplo el modelo cíclico de la naturaleza, la economía circular se presenta como un sistema de aprovechamiento de recursos donde prima la reducción de los elementos: minimizar la producción al mínimo indispensable, y cuando sea necesario hacer uso del producto, apostar por la reutilización de los elementos que por sus propiedades no </w:t>
      </w:r>
      <w:r>
        <w:rPr>
          <w:rFonts w:ascii="Arial Narrow" w:hAnsi="Arial Narrow"/>
          <w:i/>
          <w:sz w:val="24"/>
          <w:szCs w:val="24"/>
        </w:rPr>
        <w:t>pueden volver al medio ambiente</w:t>
      </w:r>
      <w:r w:rsidRPr="00391217">
        <w:rPr>
          <w:rFonts w:ascii="Arial Narrow" w:hAnsi="Arial Narrow"/>
          <w:i/>
          <w:sz w:val="24"/>
          <w:szCs w:val="24"/>
        </w:rPr>
        <w:t>”</w:t>
      </w:r>
      <w:r>
        <w:rPr>
          <w:rStyle w:val="Refdenotaalpie"/>
          <w:rFonts w:ascii="Arial Narrow" w:hAnsi="Arial Narrow"/>
          <w:i/>
          <w:sz w:val="24"/>
          <w:szCs w:val="24"/>
        </w:rPr>
        <w:footnoteReference w:id="10"/>
      </w:r>
      <w:r>
        <w:rPr>
          <w:rFonts w:ascii="Arial Narrow" w:hAnsi="Arial Narrow"/>
          <w:sz w:val="24"/>
          <w:szCs w:val="24"/>
        </w:rPr>
        <w:t xml:space="preserve"> </w:t>
      </w:r>
    </w:p>
    <w:p w:rsidR="00F367F4" w:rsidRPr="00641257" w:rsidRDefault="00F367F4" w:rsidP="00F367F4">
      <w:pPr>
        <w:jc w:val="both"/>
        <w:rPr>
          <w:rFonts w:ascii="Arial Narrow" w:hAnsi="Arial Narrow"/>
          <w:sz w:val="24"/>
          <w:szCs w:val="24"/>
        </w:rPr>
      </w:pPr>
      <w:r>
        <w:rPr>
          <w:rFonts w:ascii="Arial Narrow" w:hAnsi="Arial Narrow"/>
          <w:sz w:val="24"/>
          <w:szCs w:val="24"/>
        </w:rPr>
        <w:lastRenderedPageBreak/>
        <w:t>Con el fin de aumentar el aprovechamiento, reciclaje</w:t>
      </w:r>
      <w:r w:rsidR="004255DD">
        <w:rPr>
          <w:rFonts w:ascii="Arial Narrow" w:hAnsi="Arial Narrow"/>
          <w:sz w:val="24"/>
          <w:szCs w:val="24"/>
        </w:rPr>
        <w:t xml:space="preserve"> y tratamiento de residuos, el Gobierno nacional planteó</w:t>
      </w:r>
      <w:r>
        <w:rPr>
          <w:rFonts w:ascii="Arial Narrow" w:hAnsi="Arial Narrow"/>
          <w:sz w:val="24"/>
          <w:szCs w:val="24"/>
        </w:rPr>
        <w:t xml:space="preserve"> que se tenían que definir criterios para la ubicación de infraestructura de recuperación de materiales y avanzar en la implementación de proyectos tipo con enfoque de cierre de ciclos. Así mismo dispuso que el Ministerio de Vivienda debía establecer los lineamientos </w:t>
      </w:r>
      <w:r w:rsidRPr="00AD6481">
        <w:rPr>
          <w:rFonts w:ascii="Arial Narrow" w:hAnsi="Arial Narrow"/>
          <w:sz w:val="24"/>
          <w:szCs w:val="24"/>
        </w:rPr>
        <w:t>en el</w:t>
      </w:r>
      <w:r>
        <w:rPr>
          <w:rFonts w:ascii="Arial Narrow" w:hAnsi="Arial Narrow"/>
          <w:sz w:val="24"/>
          <w:szCs w:val="24"/>
        </w:rPr>
        <w:t xml:space="preserve"> RAS para el aprovechamiento de </w:t>
      </w:r>
      <w:r w:rsidRPr="00AD6481">
        <w:rPr>
          <w:rFonts w:ascii="Arial Narrow" w:hAnsi="Arial Narrow"/>
          <w:sz w:val="24"/>
          <w:szCs w:val="24"/>
        </w:rPr>
        <w:t>biosólidos y biogás generados en el tratamiento de aguas residuales m</w:t>
      </w:r>
      <w:r>
        <w:rPr>
          <w:rFonts w:ascii="Arial Narrow" w:hAnsi="Arial Narrow"/>
          <w:sz w:val="24"/>
          <w:szCs w:val="24"/>
        </w:rPr>
        <w:t xml:space="preserve">unicipales; y </w:t>
      </w:r>
      <w:r w:rsidRPr="00AD6481">
        <w:rPr>
          <w:rFonts w:ascii="Arial Narrow" w:hAnsi="Arial Narrow"/>
          <w:sz w:val="24"/>
          <w:szCs w:val="24"/>
        </w:rPr>
        <w:t>co</w:t>
      </w:r>
      <w:r>
        <w:rPr>
          <w:rFonts w:ascii="Arial Narrow" w:hAnsi="Arial Narrow"/>
          <w:sz w:val="24"/>
          <w:szCs w:val="24"/>
        </w:rPr>
        <w:t>n el apoyo de la UPME, promover su implementación; así como realizar el ajuste a</w:t>
      </w:r>
      <w:r w:rsidRPr="00AD6481">
        <w:rPr>
          <w:rFonts w:ascii="Arial Narrow" w:hAnsi="Arial Narrow"/>
          <w:sz w:val="24"/>
          <w:szCs w:val="24"/>
        </w:rPr>
        <w:t>l reglamento colombiano de con</w:t>
      </w:r>
      <w:r>
        <w:rPr>
          <w:rFonts w:ascii="Arial Narrow" w:hAnsi="Arial Narrow"/>
          <w:sz w:val="24"/>
          <w:szCs w:val="24"/>
        </w:rPr>
        <w:t xml:space="preserve">strucción sismo resistente para </w:t>
      </w:r>
      <w:r w:rsidRPr="00AD6481">
        <w:rPr>
          <w:rFonts w:ascii="Arial Narrow" w:hAnsi="Arial Narrow"/>
          <w:sz w:val="24"/>
          <w:szCs w:val="24"/>
        </w:rPr>
        <w:t xml:space="preserve">viabilizar el uso de agregados reciclados de </w:t>
      </w:r>
      <w:r>
        <w:rPr>
          <w:rFonts w:ascii="Arial Narrow" w:hAnsi="Arial Narrow"/>
          <w:sz w:val="24"/>
          <w:szCs w:val="24"/>
        </w:rPr>
        <w:t xml:space="preserve">concreto y pétreos mixtos en la </w:t>
      </w:r>
      <w:r w:rsidRPr="00AD6481">
        <w:rPr>
          <w:rFonts w:ascii="Arial Narrow" w:hAnsi="Arial Narrow"/>
          <w:sz w:val="24"/>
          <w:szCs w:val="24"/>
        </w:rPr>
        <w:t>construcción de infraestructura y generará instrumentos de promoción y aplicación.</w:t>
      </w:r>
    </w:p>
    <w:p w:rsidR="00F367F4" w:rsidRDefault="00F367F4" w:rsidP="00F367F4">
      <w:pPr>
        <w:jc w:val="both"/>
        <w:rPr>
          <w:rFonts w:ascii="Arial Narrow" w:hAnsi="Arial Narrow"/>
          <w:sz w:val="24"/>
          <w:szCs w:val="24"/>
        </w:rPr>
      </w:pPr>
      <w:r>
        <w:rPr>
          <w:rFonts w:ascii="Arial Narrow" w:hAnsi="Arial Narrow"/>
          <w:sz w:val="24"/>
          <w:szCs w:val="24"/>
        </w:rPr>
        <w:t xml:space="preserve">Lo anterior nos permite concluir, que existe la necesidad que desde el legislativo se adopten las medidas necesarias para ayudar a consolidar las metas propuestas por el Gobierno en la temática, las cuales deben trascender de simplemente ser políticas de Gobierno y tener una continuidad a lo largo de los periodos para garantizar su efectiva realización, además de lo anterior, también se identifica la necesidad de que se </w:t>
      </w:r>
      <w:r w:rsidR="00CB3C88">
        <w:rPr>
          <w:rFonts w:ascii="Arial Narrow" w:hAnsi="Arial Narrow"/>
          <w:sz w:val="24"/>
          <w:szCs w:val="24"/>
        </w:rPr>
        <w:t xml:space="preserve">actualice </w:t>
      </w:r>
      <w:r>
        <w:rPr>
          <w:rFonts w:ascii="Arial Narrow" w:hAnsi="Arial Narrow"/>
          <w:sz w:val="24"/>
          <w:szCs w:val="24"/>
        </w:rPr>
        <w:t>el tratamiento que se le debe dar a las prestadoras del servicio de aseo y de manejo, aprovechamiento y disposición final de residuos</w:t>
      </w:r>
      <w:r w:rsidR="009D1CEA">
        <w:rPr>
          <w:rFonts w:ascii="Arial Narrow" w:hAnsi="Arial Narrow"/>
          <w:sz w:val="24"/>
          <w:szCs w:val="24"/>
        </w:rPr>
        <w:t>,</w:t>
      </w:r>
      <w:r>
        <w:rPr>
          <w:rFonts w:ascii="Arial Narrow" w:hAnsi="Arial Narrow"/>
          <w:sz w:val="24"/>
          <w:szCs w:val="24"/>
        </w:rPr>
        <w:t xml:space="preserve"> toda </w:t>
      </w:r>
      <w:r w:rsidR="009D1CEA">
        <w:rPr>
          <w:rFonts w:ascii="Arial Narrow" w:hAnsi="Arial Narrow"/>
          <w:sz w:val="24"/>
          <w:szCs w:val="24"/>
        </w:rPr>
        <w:t xml:space="preserve">vez que la crisis ambiental exige </w:t>
      </w:r>
      <w:r>
        <w:rPr>
          <w:rFonts w:ascii="Arial Narrow" w:hAnsi="Arial Narrow"/>
          <w:sz w:val="24"/>
          <w:szCs w:val="24"/>
        </w:rPr>
        <w:t xml:space="preserve">que se tomen medidas </w:t>
      </w:r>
      <w:r w:rsidR="00CB3C88">
        <w:rPr>
          <w:rFonts w:ascii="Arial Narrow" w:hAnsi="Arial Narrow"/>
          <w:sz w:val="24"/>
          <w:szCs w:val="24"/>
        </w:rPr>
        <w:t xml:space="preserve">más fuertes </w:t>
      </w:r>
      <w:r>
        <w:rPr>
          <w:rFonts w:ascii="Arial Narrow" w:hAnsi="Arial Narrow"/>
          <w:sz w:val="24"/>
          <w:szCs w:val="24"/>
        </w:rPr>
        <w:t xml:space="preserve">a fin de contrarrestar el deterioro de los ecosistemas y el cambio climático. </w:t>
      </w:r>
    </w:p>
    <w:p w:rsidR="00CB3C88" w:rsidRPr="00CB3C88" w:rsidRDefault="00165206" w:rsidP="00CB3C88">
      <w:pPr>
        <w:pStyle w:val="Prrafodelista"/>
        <w:numPr>
          <w:ilvl w:val="0"/>
          <w:numId w:val="24"/>
        </w:numPr>
        <w:jc w:val="both"/>
        <w:rPr>
          <w:rFonts w:ascii="Arial Narrow" w:hAnsi="Arial Narrow"/>
          <w:sz w:val="24"/>
          <w:szCs w:val="24"/>
        </w:rPr>
      </w:pPr>
      <w:r>
        <w:rPr>
          <w:rFonts w:ascii="Arial Narrow" w:hAnsi="Arial Narrow"/>
          <w:b/>
          <w:sz w:val="24"/>
          <w:szCs w:val="24"/>
        </w:rPr>
        <w:t>OBSERVACIONES A LA INICIATIVA</w:t>
      </w:r>
    </w:p>
    <w:p w:rsidR="00CB3C88" w:rsidRDefault="00CB3C88" w:rsidP="00F367F4">
      <w:pPr>
        <w:jc w:val="both"/>
        <w:rPr>
          <w:rFonts w:ascii="Arial Narrow" w:hAnsi="Arial Narrow"/>
          <w:sz w:val="24"/>
          <w:szCs w:val="24"/>
        </w:rPr>
      </w:pPr>
      <w:r>
        <w:rPr>
          <w:rFonts w:ascii="Arial Narrow" w:hAnsi="Arial Narrow"/>
          <w:sz w:val="24"/>
          <w:szCs w:val="24"/>
        </w:rPr>
        <w:t>Después de analizada la iniciativa partiendo de las observaciones realizadas por la Superintendencia de Servicios Públicos Domiciliarios y la Ponencia p</w:t>
      </w:r>
      <w:r w:rsidR="00F0793A">
        <w:rPr>
          <w:rFonts w:ascii="Arial Narrow" w:hAnsi="Arial Narrow"/>
          <w:sz w:val="24"/>
          <w:szCs w:val="24"/>
        </w:rPr>
        <w:t xml:space="preserve">ara primer debate al Proyecto de Ley No. 263 de 2018 Cámara </w:t>
      </w:r>
      <w:r w:rsidR="00F0793A" w:rsidRPr="002737BA">
        <w:rPr>
          <w:rFonts w:ascii="Arial Narrow" w:hAnsi="Arial Narrow" w:cs="Arial"/>
          <w:i/>
          <w:sz w:val="24"/>
          <w:szCs w:val="24"/>
        </w:rPr>
        <w:t>“</w:t>
      </w:r>
      <w:r w:rsidR="00F0793A" w:rsidRPr="00690774">
        <w:rPr>
          <w:rFonts w:ascii="Arial Narrow" w:hAnsi="Arial Narrow" w:cs="Arial"/>
          <w:i/>
          <w:sz w:val="24"/>
          <w:szCs w:val="24"/>
        </w:rPr>
        <w:t>Por el cual se dictan normas orientadas a regular la disposición final de residuos sólidos en el territorio nacional</w:t>
      </w:r>
      <w:r w:rsidR="00F0793A" w:rsidRPr="002737BA">
        <w:rPr>
          <w:rFonts w:ascii="Arial Narrow" w:hAnsi="Arial Narrow" w:cs="Arial"/>
          <w:b/>
          <w:i/>
          <w:sz w:val="24"/>
          <w:szCs w:val="24"/>
        </w:rPr>
        <w:t>”</w:t>
      </w:r>
      <w:r>
        <w:rPr>
          <w:rFonts w:ascii="Arial Narrow" w:hAnsi="Arial Narrow"/>
          <w:sz w:val="24"/>
          <w:szCs w:val="24"/>
        </w:rPr>
        <w:t xml:space="preserve"> presentada en la legislatura pasada</w:t>
      </w:r>
      <w:r w:rsidR="00F0793A">
        <w:rPr>
          <w:rFonts w:ascii="Arial Narrow" w:hAnsi="Arial Narrow"/>
          <w:sz w:val="24"/>
          <w:szCs w:val="24"/>
        </w:rPr>
        <w:t>,</w:t>
      </w:r>
      <w:r>
        <w:rPr>
          <w:rFonts w:ascii="Arial Narrow" w:hAnsi="Arial Narrow"/>
          <w:sz w:val="24"/>
          <w:szCs w:val="24"/>
        </w:rPr>
        <w:t xml:space="preserve"> encontramos que:</w:t>
      </w:r>
    </w:p>
    <w:p w:rsidR="00AF518A" w:rsidRDefault="00F0793A" w:rsidP="00CB3C88">
      <w:pPr>
        <w:pStyle w:val="Prrafodelista"/>
        <w:numPr>
          <w:ilvl w:val="0"/>
          <w:numId w:val="25"/>
        </w:numPr>
        <w:jc w:val="both"/>
        <w:rPr>
          <w:rFonts w:ascii="Arial Narrow" w:hAnsi="Arial Narrow"/>
          <w:sz w:val="24"/>
          <w:szCs w:val="24"/>
        </w:rPr>
      </w:pPr>
      <w:r>
        <w:rPr>
          <w:rFonts w:ascii="Arial Narrow" w:hAnsi="Arial Narrow"/>
          <w:sz w:val="24"/>
          <w:szCs w:val="24"/>
        </w:rPr>
        <w:t>Frente al</w:t>
      </w:r>
      <w:r w:rsidR="00CB3C88">
        <w:rPr>
          <w:rFonts w:ascii="Arial Narrow" w:hAnsi="Arial Narrow"/>
          <w:sz w:val="24"/>
          <w:szCs w:val="24"/>
        </w:rPr>
        <w:t xml:space="preserve"> objeto </w:t>
      </w:r>
      <w:r>
        <w:rPr>
          <w:rFonts w:ascii="Arial Narrow" w:hAnsi="Arial Narrow"/>
          <w:sz w:val="24"/>
          <w:szCs w:val="24"/>
        </w:rPr>
        <w:t xml:space="preserve">de la iniciativa que </w:t>
      </w:r>
      <w:r w:rsidR="00CB3C88">
        <w:rPr>
          <w:rFonts w:ascii="Arial Narrow" w:hAnsi="Arial Narrow"/>
          <w:sz w:val="24"/>
          <w:szCs w:val="24"/>
        </w:rPr>
        <w:t xml:space="preserve">habla de la incorporación de nuevas tecnologías en los sitios de disposición final con la finalidad de dar un tratamiento técnico a los </w:t>
      </w:r>
      <w:r w:rsidR="009469BD">
        <w:rPr>
          <w:rFonts w:ascii="Arial Narrow" w:hAnsi="Arial Narrow"/>
          <w:sz w:val="24"/>
          <w:szCs w:val="24"/>
        </w:rPr>
        <w:t>residuos</w:t>
      </w:r>
      <w:r w:rsidR="00CB3C88">
        <w:rPr>
          <w:rFonts w:ascii="Arial Narrow" w:hAnsi="Arial Narrow"/>
          <w:sz w:val="24"/>
          <w:szCs w:val="24"/>
        </w:rPr>
        <w:t xml:space="preserve"> </w:t>
      </w:r>
      <w:r w:rsidR="009469BD">
        <w:rPr>
          <w:rFonts w:ascii="Arial Narrow" w:hAnsi="Arial Narrow"/>
          <w:sz w:val="24"/>
          <w:szCs w:val="24"/>
        </w:rPr>
        <w:t>sólidos</w:t>
      </w:r>
      <w:r w:rsidR="00CB3C88">
        <w:rPr>
          <w:rFonts w:ascii="Arial Narrow" w:hAnsi="Arial Narrow"/>
          <w:sz w:val="24"/>
          <w:szCs w:val="24"/>
        </w:rPr>
        <w:t xml:space="preserve"> procurando el máximo</w:t>
      </w:r>
      <w:r w:rsidR="009469BD">
        <w:rPr>
          <w:rFonts w:ascii="Arial Narrow" w:hAnsi="Arial Narrow"/>
          <w:sz w:val="24"/>
          <w:szCs w:val="24"/>
        </w:rPr>
        <w:t xml:space="preserve"> aprovechamiento posible, reiteramos los argumentos expuestos por la Superintendencia en el sentido de manifestar que en el objeto no se hace una debida discriminación de las actividades complementarias de disposición final, tratamiento y aprovechamiento dado que cada una</w:t>
      </w:r>
      <w:r>
        <w:rPr>
          <w:rFonts w:ascii="Arial Narrow" w:hAnsi="Arial Narrow"/>
          <w:sz w:val="24"/>
          <w:szCs w:val="24"/>
        </w:rPr>
        <w:t xml:space="preserve"> de ellas debe</w:t>
      </w:r>
      <w:r w:rsidR="009469BD">
        <w:rPr>
          <w:rFonts w:ascii="Arial Narrow" w:hAnsi="Arial Narrow"/>
          <w:sz w:val="24"/>
          <w:szCs w:val="24"/>
        </w:rPr>
        <w:t xml:space="preserve"> hace</w:t>
      </w:r>
      <w:r>
        <w:rPr>
          <w:rFonts w:ascii="Arial Narrow" w:hAnsi="Arial Narrow"/>
          <w:sz w:val="24"/>
          <w:szCs w:val="24"/>
        </w:rPr>
        <w:t>r</w:t>
      </w:r>
      <w:r w:rsidR="009469BD">
        <w:rPr>
          <w:rFonts w:ascii="Arial Narrow" w:hAnsi="Arial Narrow"/>
          <w:sz w:val="24"/>
          <w:szCs w:val="24"/>
        </w:rPr>
        <w:t xml:space="preserve"> referencia a acciones específicas</w:t>
      </w:r>
      <w:r>
        <w:rPr>
          <w:rFonts w:ascii="Arial Narrow" w:hAnsi="Arial Narrow"/>
          <w:sz w:val="24"/>
          <w:szCs w:val="24"/>
        </w:rPr>
        <w:t xml:space="preserve"> y diferenciadas</w:t>
      </w:r>
      <w:r w:rsidR="009469BD">
        <w:rPr>
          <w:rFonts w:ascii="Arial Narrow" w:hAnsi="Arial Narrow"/>
          <w:sz w:val="24"/>
          <w:szCs w:val="24"/>
        </w:rPr>
        <w:t>.</w:t>
      </w:r>
      <w:r>
        <w:rPr>
          <w:rFonts w:ascii="Arial Narrow" w:hAnsi="Arial Narrow"/>
          <w:sz w:val="24"/>
          <w:szCs w:val="24"/>
        </w:rPr>
        <w:t xml:space="preserve"> En este sentido desde l</w:t>
      </w:r>
      <w:r w:rsidR="009469BD">
        <w:rPr>
          <w:rFonts w:ascii="Arial Narrow" w:hAnsi="Arial Narrow"/>
          <w:sz w:val="24"/>
          <w:szCs w:val="24"/>
        </w:rPr>
        <w:t xml:space="preserve">a Ley 142 de 1992 se dispone que existen varias actividades complementarias dentro de las cuales se encuentra el transporte, el tratamiento, aprovechamiento y la disposición </w:t>
      </w:r>
      <w:r w:rsidR="00AF518A">
        <w:rPr>
          <w:rFonts w:ascii="Arial Narrow" w:hAnsi="Arial Narrow"/>
          <w:sz w:val="24"/>
          <w:szCs w:val="24"/>
        </w:rPr>
        <w:t xml:space="preserve">final de los residuos y en la iniciativa se hace mención </w:t>
      </w:r>
      <w:r>
        <w:rPr>
          <w:rFonts w:ascii="Arial Narrow" w:hAnsi="Arial Narrow"/>
          <w:sz w:val="24"/>
          <w:szCs w:val="24"/>
        </w:rPr>
        <w:t>de unas y de otras sin especificar</w:t>
      </w:r>
      <w:r w:rsidR="00AF518A">
        <w:rPr>
          <w:rFonts w:ascii="Arial Narrow" w:hAnsi="Arial Narrow"/>
          <w:sz w:val="24"/>
          <w:szCs w:val="24"/>
        </w:rPr>
        <w:t xml:space="preserve"> los límites</w:t>
      </w:r>
      <w:r>
        <w:rPr>
          <w:rFonts w:ascii="Arial Narrow" w:hAnsi="Arial Narrow"/>
          <w:sz w:val="24"/>
          <w:szCs w:val="24"/>
        </w:rPr>
        <w:t xml:space="preserve"> de cada una</w:t>
      </w:r>
      <w:r w:rsidR="00AF518A">
        <w:rPr>
          <w:rFonts w:ascii="Arial Narrow" w:hAnsi="Arial Narrow"/>
          <w:sz w:val="24"/>
          <w:szCs w:val="24"/>
        </w:rPr>
        <w:t xml:space="preserve">. </w:t>
      </w:r>
    </w:p>
    <w:p w:rsidR="00CB3C88" w:rsidRDefault="00AF518A" w:rsidP="00CB3C88">
      <w:pPr>
        <w:pStyle w:val="Prrafodelista"/>
        <w:numPr>
          <w:ilvl w:val="0"/>
          <w:numId w:val="25"/>
        </w:numPr>
        <w:jc w:val="both"/>
        <w:rPr>
          <w:rFonts w:ascii="Arial Narrow" w:hAnsi="Arial Narrow"/>
          <w:sz w:val="24"/>
          <w:szCs w:val="24"/>
        </w:rPr>
      </w:pPr>
      <w:r>
        <w:rPr>
          <w:rFonts w:ascii="Arial Narrow" w:hAnsi="Arial Narrow"/>
          <w:sz w:val="24"/>
          <w:szCs w:val="24"/>
        </w:rPr>
        <w:t>El artículo 2º hace referencia al tratamiento que se le ha de dar a los residuos sólidos urbanos</w:t>
      </w:r>
      <w:r w:rsidR="009D1CEA">
        <w:rPr>
          <w:rFonts w:ascii="Arial Narrow" w:hAnsi="Arial Narrow"/>
          <w:sz w:val="24"/>
          <w:szCs w:val="24"/>
        </w:rPr>
        <w:t>. R</w:t>
      </w:r>
      <w:r>
        <w:rPr>
          <w:rFonts w:ascii="Arial Narrow" w:hAnsi="Arial Narrow"/>
          <w:sz w:val="24"/>
          <w:szCs w:val="24"/>
        </w:rPr>
        <w:t xml:space="preserve">especto de esta disposición en primer lugar se menciona que la </w:t>
      </w:r>
      <w:r w:rsidR="00F0793A">
        <w:rPr>
          <w:rFonts w:ascii="Arial Narrow" w:hAnsi="Arial Narrow"/>
          <w:sz w:val="24"/>
          <w:szCs w:val="24"/>
        </w:rPr>
        <w:t>misma</w:t>
      </w:r>
      <w:r>
        <w:rPr>
          <w:rFonts w:ascii="Arial Narrow" w:hAnsi="Arial Narrow"/>
          <w:sz w:val="24"/>
          <w:szCs w:val="24"/>
        </w:rPr>
        <w:t xml:space="preserve"> es tomada </w:t>
      </w:r>
      <w:r>
        <w:rPr>
          <w:rFonts w:ascii="Arial Narrow" w:hAnsi="Arial Narrow"/>
          <w:sz w:val="24"/>
          <w:szCs w:val="24"/>
        </w:rPr>
        <w:lastRenderedPageBreak/>
        <w:t xml:space="preserve">idénticamente </w:t>
      </w:r>
      <w:r w:rsidR="00747158">
        <w:rPr>
          <w:rFonts w:ascii="Arial Narrow" w:hAnsi="Arial Narrow"/>
          <w:sz w:val="24"/>
          <w:szCs w:val="24"/>
        </w:rPr>
        <w:t>de la ordenanza 2903 del 08 de agosto de 1988 de la Municipalidad de Mendoza de la Republica de Argentina</w:t>
      </w:r>
      <w:r w:rsidR="00F0793A">
        <w:rPr>
          <w:rFonts w:ascii="Arial Narrow" w:hAnsi="Arial Narrow"/>
          <w:sz w:val="24"/>
          <w:szCs w:val="24"/>
        </w:rPr>
        <w:t>. Adicional a lo anterior, s</w:t>
      </w:r>
      <w:r w:rsidR="00747158">
        <w:rPr>
          <w:rFonts w:ascii="Arial Narrow" w:hAnsi="Arial Narrow"/>
          <w:sz w:val="24"/>
          <w:szCs w:val="24"/>
        </w:rPr>
        <w:t>e presenta un error en la citación del Decreto 596 de 2016</w:t>
      </w:r>
      <w:r w:rsidR="00F0793A">
        <w:rPr>
          <w:rFonts w:ascii="Arial Narrow" w:hAnsi="Arial Narrow"/>
          <w:sz w:val="24"/>
          <w:szCs w:val="24"/>
        </w:rPr>
        <w:t xml:space="preserve"> y por último, </w:t>
      </w:r>
      <w:r w:rsidR="00BB3ED4">
        <w:rPr>
          <w:rFonts w:ascii="Arial Narrow" w:hAnsi="Arial Narrow"/>
          <w:sz w:val="24"/>
          <w:szCs w:val="24"/>
        </w:rPr>
        <w:t>el articulo desborda el objeto de la ini</w:t>
      </w:r>
      <w:r w:rsidR="00F0793A">
        <w:rPr>
          <w:rFonts w:ascii="Arial Narrow" w:hAnsi="Arial Narrow"/>
          <w:sz w:val="24"/>
          <w:szCs w:val="24"/>
        </w:rPr>
        <w:t xml:space="preserve">ciativa dado que en principio solamente </w:t>
      </w:r>
      <w:r w:rsidR="00BB3ED4">
        <w:rPr>
          <w:rFonts w:ascii="Arial Narrow" w:hAnsi="Arial Narrow"/>
          <w:sz w:val="24"/>
          <w:szCs w:val="24"/>
        </w:rPr>
        <w:t>hacía referencia a la disposición final, posteriormente habla de aprovechamiento y en este artículo también habla de transformación y recuperación</w:t>
      </w:r>
      <w:r w:rsidR="00F0793A">
        <w:rPr>
          <w:rFonts w:ascii="Arial Narrow" w:hAnsi="Arial Narrow"/>
          <w:sz w:val="24"/>
          <w:szCs w:val="24"/>
        </w:rPr>
        <w:t>, c</w:t>
      </w:r>
      <w:r w:rsidR="00BB3ED4">
        <w:rPr>
          <w:rFonts w:ascii="Arial Narrow" w:hAnsi="Arial Narrow"/>
          <w:sz w:val="24"/>
          <w:szCs w:val="24"/>
        </w:rPr>
        <w:t>onceptos últimos que no se encuentran definidos por la normativa co</w:t>
      </w:r>
      <w:r w:rsidR="00D863B5">
        <w:rPr>
          <w:rFonts w:ascii="Arial Narrow" w:hAnsi="Arial Narrow"/>
          <w:sz w:val="24"/>
          <w:szCs w:val="24"/>
        </w:rPr>
        <w:t>lombiana y que en la iniciativa puesta en consideración no se aborda</w:t>
      </w:r>
      <w:r w:rsidR="00F0793A">
        <w:rPr>
          <w:rFonts w:ascii="Arial Narrow" w:hAnsi="Arial Narrow"/>
          <w:sz w:val="24"/>
          <w:szCs w:val="24"/>
        </w:rPr>
        <w:t>n</w:t>
      </w:r>
      <w:r w:rsidR="00D863B5">
        <w:rPr>
          <w:rFonts w:ascii="Arial Narrow" w:hAnsi="Arial Narrow"/>
          <w:sz w:val="24"/>
          <w:szCs w:val="24"/>
        </w:rPr>
        <w:t xml:space="preserve"> de forma integral para permitir su efectiva aplicación</w:t>
      </w:r>
      <w:r w:rsidR="00F0793A">
        <w:rPr>
          <w:rFonts w:ascii="Arial Narrow" w:hAnsi="Arial Narrow"/>
          <w:sz w:val="24"/>
          <w:szCs w:val="24"/>
        </w:rPr>
        <w:t xml:space="preserve"> y reglamentación</w:t>
      </w:r>
      <w:r w:rsidR="00D863B5">
        <w:rPr>
          <w:rFonts w:ascii="Arial Narrow" w:hAnsi="Arial Narrow"/>
          <w:sz w:val="24"/>
          <w:szCs w:val="24"/>
        </w:rPr>
        <w:t>.</w:t>
      </w:r>
    </w:p>
    <w:p w:rsidR="00D22760" w:rsidRDefault="00D863B5" w:rsidP="00CB3C88">
      <w:pPr>
        <w:pStyle w:val="Prrafodelista"/>
        <w:numPr>
          <w:ilvl w:val="0"/>
          <w:numId w:val="25"/>
        </w:numPr>
        <w:jc w:val="both"/>
        <w:rPr>
          <w:rFonts w:ascii="Arial Narrow" w:hAnsi="Arial Narrow"/>
          <w:sz w:val="24"/>
          <w:szCs w:val="24"/>
        </w:rPr>
      </w:pPr>
      <w:r>
        <w:rPr>
          <w:rFonts w:ascii="Arial Narrow" w:hAnsi="Arial Narrow"/>
          <w:sz w:val="24"/>
          <w:szCs w:val="24"/>
        </w:rPr>
        <w:t>Frente a</w:t>
      </w:r>
      <w:r w:rsidR="00A57839">
        <w:rPr>
          <w:rFonts w:ascii="Arial Narrow" w:hAnsi="Arial Narrow"/>
          <w:sz w:val="24"/>
          <w:szCs w:val="24"/>
        </w:rPr>
        <w:t xml:space="preserve"> </w:t>
      </w:r>
      <w:r>
        <w:rPr>
          <w:rFonts w:ascii="Arial Narrow" w:hAnsi="Arial Narrow"/>
          <w:sz w:val="24"/>
          <w:szCs w:val="24"/>
        </w:rPr>
        <w:t>l</w:t>
      </w:r>
      <w:r w:rsidR="00A57839">
        <w:rPr>
          <w:rFonts w:ascii="Arial Narrow" w:hAnsi="Arial Narrow"/>
          <w:sz w:val="24"/>
          <w:szCs w:val="24"/>
        </w:rPr>
        <w:t>os</w:t>
      </w:r>
      <w:r>
        <w:rPr>
          <w:rFonts w:ascii="Arial Narrow" w:hAnsi="Arial Narrow"/>
          <w:sz w:val="24"/>
          <w:szCs w:val="24"/>
        </w:rPr>
        <w:t xml:space="preserve"> artículo</w:t>
      </w:r>
      <w:r w:rsidR="00A57839">
        <w:rPr>
          <w:rFonts w:ascii="Arial Narrow" w:hAnsi="Arial Narrow"/>
          <w:sz w:val="24"/>
          <w:szCs w:val="24"/>
        </w:rPr>
        <w:t>s</w:t>
      </w:r>
      <w:r>
        <w:rPr>
          <w:rFonts w:ascii="Arial Narrow" w:hAnsi="Arial Narrow"/>
          <w:sz w:val="24"/>
          <w:szCs w:val="24"/>
        </w:rPr>
        <w:t xml:space="preserve"> 3</w:t>
      </w:r>
      <w:r w:rsidR="00A57839">
        <w:rPr>
          <w:rFonts w:ascii="Arial Narrow" w:hAnsi="Arial Narrow"/>
          <w:sz w:val="24"/>
          <w:szCs w:val="24"/>
        </w:rPr>
        <w:t>º y 6º,</w:t>
      </w:r>
      <w:r>
        <w:rPr>
          <w:rFonts w:ascii="Arial Narrow" w:hAnsi="Arial Narrow"/>
          <w:sz w:val="24"/>
          <w:szCs w:val="24"/>
        </w:rPr>
        <w:t xml:space="preserve"> se argumenta que </w:t>
      </w:r>
      <w:r w:rsidR="00A57839">
        <w:rPr>
          <w:rFonts w:ascii="Arial Narrow" w:hAnsi="Arial Narrow"/>
          <w:sz w:val="24"/>
          <w:szCs w:val="24"/>
        </w:rPr>
        <w:t xml:space="preserve">se </w:t>
      </w:r>
      <w:r>
        <w:rPr>
          <w:rFonts w:ascii="Arial Narrow" w:hAnsi="Arial Narrow"/>
          <w:sz w:val="24"/>
          <w:szCs w:val="24"/>
        </w:rPr>
        <w:t xml:space="preserve">desconoce la jerarquía en la gestión de los residuos sólidos la cual se representa como una pirámide invertida en la cual en primer lugar se establece medidas de prevención de generación de residuos, posteriormente plantea medidas de reducción de residuos a través de la reutilización, para dar paso </w:t>
      </w:r>
      <w:r w:rsidR="00D22760">
        <w:rPr>
          <w:rFonts w:ascii="Arial Narrow" w:hAnsi="Arial Narrow"/>
          <w:sz w:val="24"/>
          <w:szCs w:val="24"/>
        </w:rPr>
        <w:t>al aprovechamiento, entendido como reciclaje. Posteriormente siguen las medidas para los residuos no aprovechables que mediante el tratamiento de los mismos se pueden reincoporar a otros procesos productivos, utilizarlos para la generación de energía o proceder a su compactación, siendo el ultimo eslabón la disposición final en rellenos sanitarios o incineración sin valorización energética.</w:t>
      </w:r>
    </w:p>
    <w:p w:rsidR="00D863B5" w:rsidRDefault="00D22760" w:rsidP="00056C69">
      <w:pPr>
        <w:pStyle w:val="Prrafodelista"/>
        <w:jc w:val="center"/>
        <w:rPr>
          <w:rFonts w:ascii="Arial Narrow" w:hAnsi="Arial Narrow"/>
          <w:sz w:val="24"/>
          <w:szCs w:val="24"/>
        </w:rPr>
      </w:pPr>
      <w:r>
        <w:rPr>
          <w:rFonts w:ascii="Arial Narrow" w:hAnsi="Arial Narrow"/>
          <w:noProof/>
          <w:sz w:val="24"/>
          <w:szCs w:val="24"/>
          <w:lang w:eastAsia="es-CO"/>
        </w:rPr>
        <w:drawing>
          <wp:inline distT="0" distB="0" distL="0" distR="0">
            <wp:extent cx="3048000" cy="1676400"/>
            <wp:effectExtent l="38100" t="57150" r="38100" b="38100"/>
            <wp:docPr id="7" name="Diagrama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inline>
        </w:drawing>
      </w:r>
    </w:p>
    <w:p w:rsidR="00D22760" w:rsidRDefault="00056C69" w:rsidP="00056C69">
      <w:pPr>
        <w:pStyle w:val="Prrafodelista"/>
        <w:jc w:val="both"/>
        <w:rPr>
          <w:rFonts w:ascii="Arial Narrow" w:hAnsi="Arial Narrow"/>
          <w:sz w:val="24"/>
          <w:szCs w:val="24"/>
        </w:rPr>
      </w:pPr>
      <w:r>
        <w:rPr>
          <w:rFonts w:ascii="Arial Narrow" w:hAnsi="Arial Narrow"/>
          <w:sz w:val="24"/>
          <w:szCs w:val="24"/>
        </w:rPr>
        <w:t xml:space="preserve">A pesar de lo </w:t>
      </w:r>
      <w:r w:rsidR="009D1CEA">
        <w:rPr>
          <w:rFonts w:ascii="Arial Narrow" w:hAnsi="Arial Narrow"/>
          <w:sz w:val="24"/>
          <w:szCs w:val="24"/>
        </w:rPr>
        <w:t xml:space="preserve">expuesto </w:t>
      </w:r>
      <w:r>
        <w:rPr>
          <w:rFonts w:ascii="Arial Narrow" w:hAnsi="Arial Narrow"/>
          <w:sz w:val="24"/>
          <w:szCs w:val="24"/>
        </w:rPr>
        <w:t>anterior</w:t>
      </w:r>
      <w:r w:rsidR="009D1CEA">
        <w:rPr>
          <w:rFonts w:ascii="Arial Narrow" w:hAnsi="Arial Narrow"/>
          <w:sz w:val="24"/>
          <w:szCs w:val="24"/>
        </w:rPr>
        <w:t>mente</w:t>
      </w:r>
      <w:r w:rsidR="001722BE">
        <w:rPr>
          <w:rFonts w:ascii="Arial Narrow" w:hAnsi="Arial Narrow"/>
          <w:sz w:val="24"/>
          <w:szCs w:val="24"/>
        </w:rPr>
        <w:t>,</w:t>
      </w:r>
      <w:r>
        <w:rPr>
          <w:rFonts w:ascii="Arial Narrow" w:hAnsi="Arial Narrow"/>
          <w:sz w:val="24"/>
          <w:szCs w:val="24"/>
        </w:rPr>
        <w:t xml:space="preserve"> se resalta que</w:t>
      </w:r>
      <w:r w:rsidR="001722BE">
        <w:rPr>
          <w:rFonts w:ascii="Arial Narrow" w:hAnsi="Arial Narrow"/>
          <w:sz w:val="24"/>
          <w:szCs w:val="24"/>
        </w:rPr>
        <w:t xml:space="preserve"> la iniciativa</w:t>
      </w:r>
      <w:r w:rsidR="009D1CEA">
        <w:rPr>
          <w:rFonts w:ascii="Arial Narrow" w:hAnsi="Arial Narrow"/>
          <w:sz w:val="24"/>
          <w:szCs w:val="24"/>
        </w:rPr>
        <w:t xml:space="preserve"> puesta en consideración pretende</w:t>
      </w:r>
      <w:r>
        <w:rPr>
          <w:rFonts w:ascii="Arial Narrow" w:hAnsi="Arial Narrow"/>
          <w:sz w:val="24"/>
          <w:szCs w:val="24"/>
        </w:rPr>
        <w:t xml:space="preserve"> establecer unos límites mínimos de aprovechamiento y tratamiento, toda vez que a pesar de que está definida dicha jerarquía, en la práctica no se está llevando a cabo </w:t>
      </w:r>
      <w:r w:rsidR="009D1CEA">
        <w:rPr>
          <w:rFonts w:ascii="Arial Narrow" w:hAnsi="Arial Narrow"/>
          <w:sz w:val="24"/>
          <w:szCs w:val="24"/>
        </w:rPr>
        <w:t xml:space="preserve">de manera rigurosa </w:t>
      </w:r>
      <w:r>
        <w:rPr>
          <w:rFonts w:ascii="Arial Narrow" w:hAnsi="Arial Narrow"/>
          <w:sz w:val="24"/>
          <w:szCs w:val="24"/>
        </w:rPr>
        <w:t>el proceso de gestión</w:t>
      </w:r>
      <w:r w:rsidR="001722BE">
        <w:rPr>
          <w:rFonts w:ascii="Arial Narrow" w:hAnsi="Arial Narrow"/>
          <w:sz w:val="24"/>
          <w:szCs w:val="24"/>
        </w:rPr>
        <w:t xml:space="preserve"> de los residuos, </w:t>
      </w:r>
      <w:r w:rsidR="009D1CEA">
        <w:rPr>
          <w:rFonts w:ascii="Arial Narrow" w:hAnsi="Arial Narrow"/>
          <w:sz w:val="24"/>
          <w:szCs w:val="24"/>
        </w:rPr>
        <w:t>lo que ha ocasionado que en muchas ocasiones se pase d</w:t>
      </w:r>
      <w:r>
        <w:rPr>
          <w:rFonts w:ascii="Arial Narrow" w:hAnsi="Arial Narrow"/>
          <w:sz w:val="24"/>
          <w:szCs w:val="24"/>
        </w:rPr>
        <w:t>irectamente a la disposición final</w:t>
      </w:r>
      <w:r w:rsidR="009D1CEA">
        <w:rPr>
          <w:rFonts w:ascii="Arial Narrow" w:hAnsi="Arial Narrow"/>
          <w:sz w:val="24"/>
          <w:szCs w:val="24"/>
        </w:rPr>
        <w:t xml:space="preserve"> de los residuos</w:t>
      </w:r>
      <w:r>
        <w:rPr>
          <w:rFonts w:ascii="Arial Narrow" w:hAnsi="Arial Narrow"/>
          <w:sz w:val="24"/>
          <w:szCs w:val="24"/>
        </w:rPr>
        <w:t>, situación que es la</w:t>
      </w:r>
      <w:r w:rsidR="001722BE">
        <w:rPr>
          <w:rFonts w:ascii="Arial Narrow" w:hAnsi="Arial Narrow"/>
          <w:sz w:val="24"/>
          <w:szCs w:val="24"/>
        </w:rPr>
        <w:t xml:space="preserve"> causante de </w:t>
      </w:r>
      <w:r>
        <w:rPr>
          <w:rFonts w:ascii="Arial Narrow" w:hAnsi="Arial Narrow"/>
          <w:sz w:val="24"/>
          <w:szCs w:val="24"/>
        </w:rPr>
        <w:t xml:space="preserve">las crisis </w:t>
      </w:r>
      <w:r w:rsidR="001722BE">
        <w:rPr>
          <w:rFonts w:ascii="Arial Narrow" w:hAnsi="Arial Narrow"/>
          <w:sz w:val="24"/>
          <w:szCs w:val="24"/>
        </w:rPr>
        <w:t xml:space="preserve">ambientales que fundamenta la presentación del proyecto por parte del autor. </w:t>
      </w:r>
      <w:r>
        <w:rPr>
          <w:rFonts w:ascii="Arial Narrow" w:hAnsi="Arial Narrow"/>
          <w:sz w:val="24"/>
          <w:szCs w:val="24"/>
        </w:rPr>
        <w:t xml:space="preserve"> </w:t>
      </w:r>
    </w:p>
    <w:p w:rsidR="00056C69" w:rsidRDefault="00056C69" w:rsidP="00CB3C88">
      <w:pPr>
        <w:pStyle w:val="Prrafodelista"/>
        <w:numPr>
          <w:ilvl w:val="0"/>
          <w:numId w:val="25"/>
        </w:numPr>
        <w:jc w:val="both"/>
        <w:rPr>
          <w:rFonts w:ascii="Arial Narrow" w:hAnsi="Arial Narrow"/>
          <w:sz w:val="24"/>
          <w:szCs w:val="24"/>
        </w:rPr>
      </w:pPr>
      <w:r>
        <w:rPr>
          <w:rFonts w:ascii="Arial Narrow" w:hAnsi="Arial Narrow"/>
          <w:sz w:val="24"/>
          <w:szCs w:val="24"/>
        </w:rPr>
        <w:t xml:space="preserve">Frente al </w:t>
      </w:r>
      <w:r w:rsidR="007124E9">
        <w:rPr>
          <w:rFonts w:ascii="Arial Narrow" w:hAnsi="Arial Narrow"/>
          <w:sz w:val="24"/>
          <w:szCs w:val="24"/>
        </w:rPr>
        <w:t>artículo</w:t>
      </w:r>
      <w:r>
        <w:rPr>
          <w:rFonts w:ascii="Arial Narrow" w:hAnsi="Arial Narrow"/>
          <w:sz w:val="24"/>
          <w:szCs w:val="24"/>
        </w:rPr>
        <w:t xml:space="preserve"> 4to se </w:t>
      </w:r>
      <w:r w:rsidR="007124E9">
        <w:rPr>
          <w:rFonts w:ascii="Arial Narrow" w:hAnsi="Arial Narrow"/>
          <w:sz w:val="24"/>
          <w:szCs w:val="24"/>
        </w:rPr>
        <w:t>reitera los argumentos expuestos por la Superintendencia, al advertir la posible inconstitucionalidad de la disposición, no obstante, se resalta que la articulación de los pequeños reciclado</w:t>
      </w:r>
      <w:r w:rsidR="001722BE">
        <w:rPr>
          <w:rFonts w:ascii="Arial Narrow" w:hAnsi="Arial Narrow"/>
          <w:sz w:val="24"/>
          <w:szCs w:val="24"/>
        </w:rPr>
        <w:t>res al Sistema, que contribuya</w:t>
      </w:r>
      <w:r w:rsidR="007124E9">
        <w:rPr>
          <w:rFonts w:ascii="Arial Narrow" w:hAnsi="Arial Narrow"/>
          <w:sz w:val="24"/>
          <w:szCs w:val="24"/>
        </w:rPr>
        <w:t xml:space="preserve"> a la dignificación de su labor, es una deuda pendiente que tiene los Gobiernos locales y el Gobierno nacional, con esta población. </w:t>
      </w:r>
    </w:p>
    <w:p w:rsidR="00A57839" w:rsidRDefault="007124E9" w:rsidP="00CB3C88">
      <w:pPr>
        <w:pStyle w:val="Prrafodelista"/>
        <w:numPr>
          <w:ilvl w:val="0"/>
          <w:numId w:val="25"/>
        </w:numPr>
        <w:jc w:val="both"/>
        <w:rPr>
          <w:rFonts w:ascii="Arial Narrow" w:hAnsi="Arial Narrow"/>
          <w:sz w:val="24"/>
          <w:szCs w:val="24"/>
        </w:rPr>
      </w:pPr>
      <w:r>
        <w:rPr>
          <w:rFonts w:ascii="Arial Narrow" w:hAnsi="Arial Narrow"/>
          <w:sz w:val="24"/>
          <w:szCs w:val="24"/>
        </w:rPr>
        <w:lastRenderedPageBreak/>
        <w:t>En cuanto al artículo 5</w:t>
      </w:r>
      <w:r w:rsidR="009D1CEA">
        <w:rPr>
          <w:rFonts w:ascii="Arial Narrow" w:hAnsi="Arial Narrow"/>
          <w:sz w:val="24"/>
          <w:szCs w:val="24"/>
        </w:rPr>
        <w:t xml:space="preserve">º </w:t>
      </w:r>
      <w:r>
        <w:rPr>
          <w:rFonts w:ascii="Arial Narrow" w:hAnsi="Arial Narrow"/>
          <w:sz w:val="24"/>
          <w:szCs w:val="24"/>
        </w:rPr>
        <w:t xml:space="preserve">se resalta la importancia de adoptar medidas de ese tipo, puesto que tal como se mencionó anteriormente, son muy pocas las prestadoras del servicio de aseo que han incorporado nuevas tecnologías en los procesos de gestión de residuos sólidos, siendo necesario el establecimiento de medidas que obliguen o tiendan que estos </w:t>
      </w:r>
      <w:r w:rsidR="001722BE">
        <w:rPr>
          <w:rFonts w:ascii="Arial Narrow" w:hAnsi="Arial Narrow"/>
          <w:sz w:val="24"/>
          <w:szCs w:val="24"/>
        </w:rPr>
        <w:t xml:space="preserve">actores implementen </w:t>
      </w:r>
      <w:r>
        <w:rPr>
          <w:rFonts w:ascii="Arial Narrow" w:hAnsi="Arial Narrow"/>
          <w:sz w:val="24"/>
          <w:szCs w:val="24"/>
        </w:rPr>
        <w:t xml:space="preserve">tecnologías más eficientes. No obstante, al artículo le falta precisión a la hora de definir a que actividad complementaria se está refiriendo, o </w:t>
      </w:r>
      <w:r w:rsidR="009D1CEA">
        <w:rPr>
          <w:rFonts w:ascii="Arial Narrow" w:hAnsi="Arial Narrow"/>
          <w:sz w:val="24"/>
          <w:szCs w:val="24"/>
        </w:rPr>
        <w:t>a qué</w:t>
      </w:r>
      <w:r>
        <w:rPr>
          <w:rFonts w:ascii="Arial Narrow" w:hAnsi="Arial Narrow"/>
          <w:sz w:val="24"/>
          <w:szCs w:val="24"/>
        </w:rPr>
        <w:t xml:space="preserve"> momento de gestión de residuos se está haciendo referencia.</w:t>
      </w:r>
    </w:p>
    <w:p w:rsidR="007124E9" w:rsidRDefault="00A57839" w:rsidP="00CB3C88">
      <w:pPr>
        <w:pStyle w:val="Prrafodelista"/>
        <w:numPr>
          <w:ilvl w:val="0"/>
          <w:numId w:val="25"/>
        </w:numPr>
        <w:jc w:val="both"/>
        <w:rPr>
          <w:rFonts w:ascii="Arial Narrow" w:hAnsi="Arial Narrow"/>
          <w:sz w:val="24"/>
          <w:szCs w:val="24"/>
        </w:rPr>
      </w:pPr>
      <w:r>
        <w:rPr>
          <w:rFonts w:ascii="Arial Narrow" w:hAnsi="Arial Narrow"/>
          <w:sz w:val="24"/>
          <w:szCs w:val="24"/>
        </w:rPr>
        <w:t xml:space="preserve">Respecto de los artículos 7º y 8º relacionados con regulación tarifaria, si bien la Superintendencia manifestó su desacuerdo con las disposiciones planteadas por no estar en consonancia con las Resoluciones existentes de la Comisión de Regulación de Agua Potable y Saneamiento, recordamos que una Ley se encuentra en rango jerárquico superior a las disposiciones reglamentarias, </w:t>
      </w:r>
      <w:r w:rsidR="001722BE">
        <w:rPr>
          <w:rFonts w:ascii="Arial Narrow" w:hAnsi="Arial Narrow"/>
          <w:sz w:val="24"/>
          <w:szCs w:val="24"/>
        </w:rPr>
        <w:t xml:space="preserve">por lo que en principio el Proyecto de Ley podría modificarlas. A </w:t>
      </w:r>
      <w:r>
        <w:rPr>
          <w:rFonts w:ascii="Arial Narrow" w:hAnsi="Arial Narrow"/>
          <w:sz w:val="24"/>
          <w:szCs w:val="24"/>
        </w:rPr>
        <w:t xml:space="preserve">pesar de lo anterior, la complejidad de la temática a tratar amerita de mayores precisiones para su procedencia y la concusión de los objetivos perseguidos por el ponente.   </w:t>
      </w:r>
    </w:p>
    <w:p w:rsidR="00A57839" w:rsidRPr="00A57839" w:rsidRDefault="009709F3" w:rsidP="00A57839">
      <w:pPr>
        <w:jc w:val="both"/>
        <w:rPr>
          <w:rFonts w:ascii="Arial Narrow" w:hAnsi="Arial Narrow"/>
          <w:b/>
          <w:sz w:val="24"/>
          <w:szCs w:val="24"/>
        </w:rPr>
      </w:pPr>
      <w:r w:rsidRPr="00A57839">
        <w:rPr>
          <w:rFonts w:ascii="Arial Narrow" w:hAnsi="Arial Narrow"/>
          <w:b/>
          <w:sz w:val="24"/>
          <w:szCs w:val="24"/>
        </w:rPr>
        <w:t xml:space="preserve">CONCLUSIÓN. </w:t>
      </w:r>
    </w:p>
    <w:p w:rsidR="00F367F4" w:rsidRDefault="00F367F4" w:rsidP="00F367F4">
      <w:pPr>
        <w:jc w:val="both"/>
        <w:rPr>
          <w:rFonts w:ascii="Arial Narrow" w:hAnsi="Arial Narrow"/>
          <w:sz w:val="24"/>
          <w:szCs w:val="24"/>
        </w:rPr>
      </w:pPr>
      <w:r>
        <w:rPr>
          <w:rFonts w:ascii="Arial Narrow" w:hAnsi="Arial Narrow"/>
          <w:sz w:val="24"/>
          <w:szCs w:val="24"/>
        </w:rPr>
        <w:t>Si bien se reconoce la imperativa necesidad de contar con un instrumento de carácter legislativo que abarque de manera holística las necesidades e</w:t>
      </w:r>
      <w:r w:rsidR="00A57839">
        <w:rPr>
          <w:rFonts w:ascii="Arial Narrow" w:hAnsi="Arial Narrow"/>
          <w:sz w:val="24"/>
          <w:szCs w:val="24"/>
        </w:rPr>
        <w:t>xpuestas, se manifiesta que el p</w:t>
      </w:r>
      <w:r>
        <w:rPr>
          <w:rFonts w:ascii="Arial Narrow" w:hAnsi="Arial Narrow"/>
          <w:sz w:val="24"/>
          <w:szCs w:val="24"/>
        </w:rPr>
        <w:t>resente</w:t>
      </w:r>
      <w:r w:rsidR="00CB3C88">
        <w:rPr>
          <w:rFonts w:ascii="Arial Narrow" w:hAnsi="Arial Narrow"/>
          <w:sz w:val="24"/>
          <w:szCs w:val="24"/>
        </w:rPr>
        <w:t xml:space="preserve"> Proyecto no</w:t>
      </w:r>
      <w:r w:rsidR="009709F3">
        <w:rPr>
          <w:rFonts w:ascii="Arial Narrow" w:hAnsi="Arial Narrow"/>
          <w:sz w:val="24"/>
          <w:szCs w:val="24"/>
        </w:rPr>
        <w:t xml:space="preserve"> es suficiente para </w:t>
      </w:r>
      <w:r>
        <w:rPr>
          <w:rFonts w:ascii="Arial Narrow" w:hAnsi="Arial Narrow"/>
          <w:sz w:val="24"/>
          <w:szCs w:val="24"/>
        </w:rPr>
        <w:t xml:space="preserve">abordar las problemáticas </w:t>
      </w:r>
      <w:r w:rsidR="009709F3">
        <w:rPr>
          <w:rFonts w:ascii="Arial Narrow" w:hAnsi="Arial Narrow"/>
          <w:sz w:val="24"/>
          <w:szCs w:val="24"/>
        </w:rPr>
        <w:t>mismas planteadas por el autor</w:t>
      </w:r>
      <w:r>
        <w:rPr>
          <w:rFonts w:ascii="Arial Narrow" w:hAnsi="Arial Narrow"/>
          <w:sz w:val="24"/>
          <w:szCs w:val="24"/>
        </w:rPr>
        <w:t xml:space="preserve"> e incluso </w:t>
      </w:r>
      <w:r w:rsidR="009709F3">
        <w:rPr>
          <w:rFonts w:ascii="Arial Narrow" w:hAnsi="Arial Narrow"/>
          <w:sz w:val="24"/>
          <w:szCs w:val="24"/>
        </w:rPr>
        <w:t xml:space="preserve">puede tener un efecto contrario al no tener en cuenta los avances normativos existentes ni los lineamientos planteados por el Gobierno nacional en el Plan Nacional de Desarrollo </w:t>
      </w:r>
      <w:r w:rsidR="009709F3" w:rsidRPr="00614648">
        <w:rPr>
          <w:rFonts w:ascii="Arial Narrow" w:hAnsi="Arial Narrow"/>
          <w:i/>
          <w:sz w:val="24"/>
          <w:szCs w:val="24"/>
        </w:rPr>
        <w:t>“Pacto por Colombia, Pacto por la Equidad”</w:t>
      </w:r>
      <w:r w:rsidR="009709F3">
        <w:rPr>
          <w:rFonts w:ascii="Arial Narrow" w:hAnsi="Arial Narrow"/>
          <w:sz w:val="24"/>
          <w:szCs w:val="24"/>
        </w:rPr>
        <w:t>, en el Pacto de Producir conservando y conservar produciendo.</w:t>
      </w:r>
      <w:r w:rsidR="001722BE">
        <w:rPr>
          <w:rFonts w:ascii="Arial Narrow" w:hAnsi="Arial Narrow"/>
          <w:sz w:val="24"/>
          <w:szCs w:val="24"/>
        </w:rPr>
        <w:t xml:space="preserve"> De igual forma, si se procediera a la modificación del Proyecto para ajustarlo a lo expuesto anteriormente, estaríamos modificando el objeto mismo de la iniciativa derivando en un Proyecto diferente al presentado inicialmente por el Autor. </w:t>
      </w:r>
    </w:p>
    <w:p w:rsidR="009709F3" w:rsidRPr="009709F3" w:rsidRDefault="00F367F4" w:rsidP="004255DD">
      <w:pPr>
        <w:pBdr>
          <w:top w:val="nil"/>
          <w:left w:val="nil"/>
          <w:bottom w:val="nil"/>
          <w:right w:val="nil"/>
          <w:between w:val="nil"/>
        </w:pBdr>
        <w:spacing w:after="0"/>
        <w:contextualSpacing/>
        <w:jc w:val="both"/>
        <w:rPr>
          <w:rFonts w:ascii="Arial Narrow" w:hAnsi="Arial Narrow"/>
          <w:sz w:val="24"/>
          <w:szCs w:val="24"/>
        </w:rPr>
      </w:pPr>
      <w:r>
        <w:rPr>
          <w:rFonts w:ascii="Arial Narrow" w:hAnsi="Arial Narrow"/>
          <w:sz w:val="24"/>
          <w:szCs w:val="24"/>
        </w:rPr>
        <w:t>Adicional</w:t>
      </w:r>
      <w:r w:rsidR="009709F3">
        <w:rPr>
          <w:rFonts w:ascii="Arial Narrow" w:hAnsi="Arial Narrow"/>
          <w:sz w:val="24"/>
          <w:szCs w:val="24"/>
        </w:rPr>
        <w:t xml:space="preserve">mente </w:t>
      </w:r>
      <w:r>
        <w:rPr>
          <w:rFonts w:ascii="Arial Narrow" w:hAnsi="Arial Narrow"/>
          <w:sz w:val="24"/>
          <w:szCs w:val="24"/>
        </w:rPr>
        <w:t xml:space="preserve">se reitera, que en la legislatura 2018 – 2019 se presentó la misma iniciativa </w:t>
      </w:r>
      <w:r w:rsidR="006E78EE">
        <w:rPr>
          <w:rFonts w:ascii="Arial Narrow" w:hAnsi="Arial Narrow"/>
          <w:sz w:val="24"/>
          <w:szCs w:val="24"/>
        </w:rPr>
        <w:t xml:space="preserve">por parte del autor y </w:t>
      </w:r>
      <w:r>
        <w:rPr>
          <w:rFonts w:ascii="Arial Narrow" w:hAnsi="Arial Narrow"/>
          <w:sz w:val="24"/>
          <w:szCs w:val="24"/>
        </w:rPr>
        <w:t xml:space="preserve">a pesar de las observaciones realizadas por el </w:t>
      </w:r>
      <w:r w:rsidR="009709F3">
        <w:rPr>
          <w:rFonts w:ascii="Arial Narrow" w:hAnsi="Arial Narrow"/>
          <w:sz w:val="24"/>
          <w:szCs w:val="24"/>
        </w:rPr>
        <w:t>Representante p</w:t>
      </w:r>
      <w:r>
        <w:rPr>
          <w:rFonts w:ascii="Arial Narrow" w:hAnsi="Arial Narrow"/>
          <w:sz w:val="24"/>
          <w:szCs w:val="24"/>
        </w:rPr>
        <w:t xml:space="preserve">onente, </w:t>
      </w:r>
      <w:r w:rsidR="006E78EE">
        <w:rPr>
          <w:rFonts w:ascii="Arial Narrow" w:hAnsi="Arial Narrow"/>
          <w:sz w:val="24"/>
          <w:szCs w:val="24"/>
        </w:rPr>
        <w:t xml:space="preserve">para la presentación del Proyecto de Ley 035 de 2019 se </w:t>
      </w:r>
      <w:r w:rsidR="009709F3">
        <w:rPr>
          <w:rFonts w:ascii="Arial Narrow" w:hAnsi="Arial Narrow"/>
          <w:sz w:val="24"/>
          <w:szCs w:val="24"/>
        </w:rPr>
        <w:t xml:space="preserve">omitió realizar los ajustes respectivos </w:t>
      </w:r>
      <w:r>
        <w:rPr>
          <w:rFonts w:ascii="Arial Narrow" w:hAnsi="Arial Narrow"/>
          <w:sz w:val="24"/>
          <w:szCs w:val="24"/>
        </w:rPr>
        <w:t>radicándose la iniciativa en</w:t>
      </w:r>
      <w:r w:rsidR="009709F3">
        <w:rPr>
          <w:rFonts w:ascii="Arial Narrow" w:hAnsi="Arial Narrow"/>
          <w:sz w:val="24"/>
          <w:szCs w:val="24"/>
        </w:rPr>
        <w:t xml:space="preserve"> el mismo</w:t>
      </w:r>
      <w:r>
        <w:rPr>
          <w:rFonts w:ascii="Arial Narrow" w:hAnsi="Arial Narrow"/>
          <w:sz w:val="24"/>
          <w:szCs w:val="24"/>
        </w:rPr>
        <w:t xml:space="preserve"> sentido a la presentada </w:t>
      </w:r>
      <w:r w:rsidR="009709F3">
        <w:rPr>
          <w:rFonts w:ascii="Arial Narrow" w:hAnsi="Arial Narrow"/>
          <w:sz w:val="24"/>
          <w:szCs w:val="24"/>
        </w:rPr>
        <w:t xml:space="preserve">el 18 de noviembre de 2018, </w:t>
      </w:r>
      <w:r>
        <w:rPr>
          <w:rFonts w:ascii="Arial Narrow" w:hAnsi="Arial Narrow"/>
          <w:sz w:val="24"/>
          <w:szCs w:val="24"/>
        </w:rPr>
        <w:t>la cual fue archivada por esta Comisión el pasado 19 de junio de 2019</w:t>
      </w:r>
      <w:r w:rsidR="009709F3">
        <w:rPr>
          <w:rFonts w:ascii="Arial Narrow" w:hAnsi="Arial Narrow"/>
          <w:sz w:val="24"/>
          <w:szCs w:val="24"/>
        </w:rPr>
        <w:t xml:space="preserve"> por razones similares a las expuestas en la presente ponencia</w:t>
      </w:r>
      <w:r>
        <w:rPr>
          <w:rFonts w:ascii="Arial Narrow" w:hAnsi="Arial Narrow"/>
          <w:sz w:val="24"/>
          <w:szCs w:val="24"/>
        </w:rPr>
        <w:t>.</w:t>
      </w:r>
      <w:r w:rsidR="009709F3">
        <w:rPr>
          <w:rFonts w:ascii="Arial Narrow" w:hAnsi="Arial Narrow"/>
          <w:sz w:val="24"/>
          <w:szCs w:val="24"/>
        </w:rPr>
        <w:t xml:space="preserve"> </w:t>
      </w:r>
    </w:p>
    <w:p w:rsidR="009C1575" w:rsidRDefault="009C1575" w:rsidP="009C1575">
      <w:pPr>
        <w:pBdr>
          <w:top w:val="nil"/>
          <w:left w:val="nil"/>
          <w:bottom w:val="nil"/>
          <w:right w:val="nil"/>
          <w:between w:val="nil"/>
        </w:pBdr>
        <w:spacing w:after="0"/>
        <w:contextualSpacing/>
        <w:rPr>
          <w:rFonts w:ascii="Arial Narrow" w:hAnsi="Arial Narrow"/>
          <w:b/>
          <w:sz w:val="24"/>
          <w:szCs w:val="24"/>
        </w:rPr>
      </w:pPr>
    </w:p>
    <w:p w:rsidR="00DA6750" w:rsidRDefault="00DA6750" w:rsidP="00117551">
      <w:pPr>
        <w:spacing w:after="0"/>
        <w:jc w:val="both"/>
        <w:rPr>
          <w:rFonts w:ascii="Arial Narrow" w:hAnsi="Arial Narrow"/>
          <w:sz w:val="24"/>
          <w:szCs w:val="24"/>
        </w:rPr>
      </w:pPr>
    </w:p>
    <w:p w:rsidR="009C1575" w:rsidRDefault="009C1575" w:rsidP="00117551">
      <w:pPr>
        <w:spacing w:after="0"/>
        <w:jc w:val="both"/>
        <w:rPr>
          <w:rFonts w:ascii="Arial Narrow" w:hAnsi="Arial Narrow"/>
          <w:sz w:val="24"/>
          <w:szCs w:val="24"/>
        </w:rPr>
      </w:pPr>
    </w:p>
    <w:p w:rsidR="004255DD" w:rsidRDefault="004255DD" w:rsidP="00117551">
      <w:pPr>
        <w:spacing w:after="0"/>
        <w:jc w:val="both"/>
        <w:rPr>
          <w:rFonts w:ascii="Arial Narrow" w:hAnsi="Arial Narrow"/>
          <w:sz w:val="24"/>
          <w:szCs w:val="24"/>
        </w:rPr>
      </w:pPr>
    </w:p>
    <w:p w:rsidR="004255DD" w:rsidRDefault="004255DD" w:rsidP="00117551">
      <w:pPr>
        <w:spacing w:after="0"/>
        <w:jc w:val="both"/>
        <w:rPr>
          <w:rFonts w:ascii="Arial Narrow" w:hAnsi="Arial Narrow"/>
          <w:sz w:val="24"/>
          <w:szCs w:val="24"/>
        </w:rPr>
      </w:pPr>
    </w:p>
    <w:p w:rsidR="004255DD" w:rsidRDefault="004255DD" w:rsidP="00117551">
      <w:pPr>
        <w:spacing w:after="0"/>
        <w:jc w:val="both"/>
        <w:rPr>
          <w:rFonts w:ascii="Arial Narrow" w:hAnsi="Arial Narrow"/>
          <w:sz w:val="24"/>
          <w:szCs w:val="24"/>
        </w:rPr>
      </w:pPr>
    </w:p>
    <w:p w:rsidR="004255DD" w:rsidRDefault="004255DD" w:rsidP="00117551">
      <w:pPr>
        <w:spacing w:after="0"/>
        <w:jc w:val="both"/>
        <w:rPr>
          <w:rFonts w:ascii="Arial Narrow" w:hAnsi="Arial Narrow"/>
          <w:sz w:val="24"/>
          <w:szCs w:val="24"/>
        </w:rPr>
      </w:pPr>
    </w:p>
    <w:p w:rsidR="004255DD" w:rsidRDefault="004255DD" w:rsidP="00117551">
      <w:pPr>
        <w:spacing w:after="0"/>
        <w:jc w:val="both"/>
        <w:rPr>
          <w:rFonts w:ascii="Arial Narrow" w:hAnsi="Arial Narrow"/>
          <w:sz w:val="24"/>
          <w:szCs w:val="24"/>
        </w:rPr>
      </w:pPr>
    </w:p>
    <w:p w:rsidR="0092733F" w:rsidRPr="0092733F" w:rsidRDefault="0092733F" w:rsidP="00C77194">
      <w:pPr>
        <w:numPr>
          <w:ilvl w:val="0"/>
          <w:numId w:val="17"/>
        </w:numPr>
        <w:pBdr>
          <w:top w:val="nil"/>
          <w:left w:val="nil"/>
          <w:bottom w:val="nil"/>
          <w:right w:val="nil"/>
          <w:between w:val="nil"/>
        </w:pBdr>
        <w:spacing w:after="0"/>
        <w:contextualSpacing/>
        <w:jc w:val="center"/>
        <w:rPr>
          <w:rFonts w:ascii="Arial Narrow" w:hAnsi="Arial Narrow"/>
          <w:b/>
          <w:sz w:val="24"/>
          <w:szCs w:val="24"/>
        </w:rPr>
      </w:pPr>
      <w:r w:rsidRPr="0092733F">
        <w:rPr>
          <w:rFonts w:ascii="Arial Narrow" w:hAnsi="Arial Narrow"/>
          <w:b/>
          <w:sz w:val="24"/>
          <w:szCs w:val="24"/>
        </w:rPr>
        <w:t xml:space="preserve">PROPOSICIÓN </w:t>
      </w:r>
    </w:p>
    <w:p w:rsidR="0092733F" w:rsidRPr="0092733F" w:rsidRDefault="0092733F" w:rsidP="00117551">
      <w:pPr>
        <w:spacing w:after="0"/>
        <w:ind w:left="720"/>
        <w:contextualSpacing/>
        <w:rPr>
          <w:rFonts w:ascii="Arial Narrow" w:hAnsi="Arial Narrow"/>
          <w:b/>
          <w:sz w:val="24"/>
          <w:szCs w:val="24"/>
        </w:rPr>
      </w:pPr>
    </w:p>
    <w:p w:rsidR="0092733F" w:rsidRPr="00614648" w:rsidRDefault="0092733F" w:rsidP="00117551">
      <w:pPr>
        <w:spacing w:after="0"/>
        <w:jc w:val="both"/>
        <w:rPr>
          <w:rFonts w:ascii="Arial Narrow" w:hAnsi="Arial Narrow"/>
          <w:sz w:val="24"/>
          <w:szCs w:val="24"/>
        </w:rPr>
      </w:pPr>
      <w:r w:rsidRPr="0092733F">
        <w:rPr>
          <w:rFonts w:ascii="Arial Narrow" w:hAnsi="Arial Narrow"/>
          <w:sz w:val="24"/>
          <w:szCs w:val="24"/>
        </w:rPr>
        <w:t>Con fundamento en las anteriores consideraciones, en cumplimiento de los requisitos establecidos en la Ley 5ª de 1992, present</w:t>
      </w:r>
      <w:r w:rsidR="0062574A">
        <w:rPr>
          <w:rFonts w:ascii="Arial Narrow" w:hAnsi="Arial Narrow"/>
          <w:sz w:val="24"/>
          <w:szCs w:val="24"/>
        </w:rPr>
        <w:t>o</w:t>
      </w:r>
      <w:r w:rsidRPr="0092733F">
        <w:rPr>
          <w:rFonts w:ascii="Arial Narrow" w:hAnsi="Arial Narrow"/>
          <w:sz w:val="24"/>
          <w:szCs w:val="24"/>
        </w:rPr>
        <w:t xml:space="preserve"> ponencia </w:t>
      </w:r>
      <w:r w:rsidR="0062574A">
        <w:rPr>
          <w:rFonts w:ascii="Arial Narrow" w:hAnsi="Arial Narrow"/>
          <w:sz w:val="24"/>
          <w:szCs w:val="24"/>
        </w:rPr>
        <w:t xml:space="preserve">desfavorable </w:t>
      </w:r>
      <w:r w:rsidRPr="0092733F">
        <w:rPr>
          <w:rFonts w:ascii="Arial Narrow" w:hAnsi="Arial Narrow"/>
          <w:sz w:val="24"/>
          <w:szCs w:val="24"/>
        </w:rPr>
        <w:t xml:space="preserve">y en consecuencia solicito a los miembros de la Comisión Quinta Constitucional Permanente de la Cámara de Representantes, </w:t>
      </w:r>
      <w:r w:rsidR="0062574A">
        <w:rPr>
          <w:rFonts w:ascii="Arial Narrow" w:hAnsi="Arial Narrow"/>
          <w:sz w:val="24"/>
          <w:szCs w:val="24"/>
        </w:rPr>
        <w:t>archivar e</w:t>
      </w:r>
      <w:r w:rsidRPr="0092733F">
        <w:rPr>
          <w:rFonts w:ascii="Arial Narrow" w:hAnsi="Arial Narrow"/>
          <w:sz w:val="24"/>
          <w:szCs w:val="24"/>
        </w:rPr>
        <w:t xml:space="preserve">l </w:t>
      </w:r>
      <w:r w:rsidR="006807BC" w:rsidRPr="0092733F">
        <w:rPr>
          <w:rFonts w:ascii="Arial Narrow" w:hAnsi="Arial Narrow"/>
          <w:sz w:val="24"/>
          <w:szCs w:val="24"/>
        </w:rPr>
        <w:t xml:space="preserve">Proyecto de Ley </w:t>
      </w:r>
      <w:r w:rsidR="0062574A">
        <w:rPr>
          <w:rFonts w:ascii="Arial Narrow" w:hAnsi="Arial Narrow"/>
          <w:sz w:val="24"/>
          <w:szCs w:val="24"/>
        </w:rPr>
        <w:t xml:space="preserve">035 </w:t>
      </w:r>
      <w:r w:rsidR="006807BC" w:rsidRPr="002910B1">
        <w:rPr>
          <w:rFonts w:ascii="Arial Narrow" w:hAnsi="Arial Narrow"/>
          <w:sz w:val="24"/>
          <w:szCs w:val="24"/>
        </w:rPr>
        <w:t xml:space="preserve">de 2019 </w:t>
      </w:r>
      <w:r w:rsidR="006807BC" w:rsidRPr="0092733F">
        <w:rPr>
          <w:rFonts w:ascii="Arial Narrow" w:hAnsi="Arial Narrow"/>
          <w:sz w:val="24"/>
          <w:szCs w:val="24"/>
        </w:rPr>
        <w:t xml:space="preserve">Cámara, </w:t>
      </w:r>
      <w:r w:rsidR="006807BC" w:rsidRPr="007C16A6">
        <w:rPr>
          <w:rFonts w:ascii="Arial Narrow" w:hAnsi="Arial Narrow"/>
          <w:i/>
          <w:sz w:val="24"/>
          <w:szCs w:val="24"/>
        </w:rPr>
        <w:t>“</w:t>
      </w:r>
      <w:r w:rsidR="007C16A6" w:rsidRPr="007C16A6">
        <w:rPr>
          <w:rFonts w:ascii="Arial Narrow" w:hAnsi="Arial Narrow"/>
          <w:i/>
          <w:sz w:val="24"/>
          <w:szCs w:val="24"/>
        </w:rPr>
        <w:t>Por el cual se dictan normas orientadas a regular la disposición final de residuos sólidos en el territorio nacional</w:t>
      </w:r>
      <w:r w:rsidR="006807BC" w:rsidRPr="007C16A6">
        <w:rPr>
          <w:rFonts w:ascii="Arial Narrow" w:hAnsi="Arial Narrow"/>
          <w:i/>
          <w:sz w:val="24"/>
          <w:szCs w:val="24"/>
        </w:rPr>
        <w:t>”</w:t>
      </w:r>
      <w:r w:rsidR="00614648">
        <w:rPr>
          <w:rFonts w:ascii="Arial Narrow" w:hAnsi="Arial Narrow"/>
          <w:i/>
          <w:sz w:val="24"/>
          <w:szCs w:val="24"/>
        </w:rPr>
        <w:t xml:space="preserve">. </w:t>
      </w: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r w:rsidRPr="0092733F">
        <w:rPr>
          <w:rFonts w:ascii="Arial Narrow" w:hAnsi="Arial Narrow"/>
          <w:sz w:val="24"/>
          <w:szCs w:val="24"/>
        </w:rPr>
        <w:t>De los honorables Representantes,</w:t>
      </w: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sz w:val="24"/>
          <w:szCs w:val="24"/>
        </w:rPr>
      </w:pPr>
    </w:p>
    <w:p w:rsidR="0092733F" w:rsidRPr="0092733F" w:rsidRDefault="0092733F" w:rsidP="00117551">
      <w:pPr>
        <w:spacing w:after="0"/>
        <w:jc w:val="both"/>
        <w:rPr>
          <w:rFonts w:ascii="Arial Narrow" w:hAnsi="Arial Narrow"/>
          <w:b/>
          <w:sz w:val="24"/>
          <w:szCs w:val="24"/>
        </w:rPr>
      </w:pPr>
      <w:r w:rsidRPr="0092733F">
        <w:rPr>
          <w:rFonts w:ascii="Arial Narrow" w:hAnsi="Arial Narrow"/>
          <w:b/>
          <w:sz w:val="24"/>
          <w:szCs w:val="24"/>
        </w:rPr>
        <w:t>TERESA ENRÍQUEZ ROSERO</w:t>
      </w:r>
    </w:p>
    <w:p w:rsidR="0092733F" w:rsidRPr="0092733F" w:rsidRDefault="0092733F" w:rsidP="00117551">
      <w:pPr>
        <w:spacing w:after="0"/>
        <w:jc w:val="both"/>
        <w:rPr>
          <w:rFonts w:ascii="Arial Narrow" w:hAnsi="Arial Narrow"/>
          <w:b/>
          <w:sz w:val="24"/>
          <w:szCs w:val="24"/>
        </w:rPr>
      </w:pPr>
      <w:r w:rsidRPr="0092733F">
        <w:rPr>
          <w:rFonts w:ascii="Arial Narrow" w:hAnsi="Arial Narrow"/>
          <w:b/>
          <w:sz w:val="24"/>
          <w:szCs w:val="24"/>
        </w:rPr>
        <w:t>Representante a la Cámara</w:t>
      </w:r>
    </w:p>
    <w:p w:rsidR="0092733F" w:rsidRDefault="0092733F" w:rsidP="00117551">
      <w:pPr>
        <w:spacing w:after="0"/>
        <w:jc w:val="both"/>
        <w:rPr>
          <w:rFonts w:ascii="Arial Narrow" w:hAnsi="Arial Narrow"/>
          <w:b/>
          <w:sz w:val="24"/>
          <w:szCs w:val="24"/>
        </w:rPr>
      </w:pPr>
      <w:r w:rsidRPr="0092733F">
        <w:rPr>
          <w:rFonts w:ascii="Arial Narrow" w:hAnsi="Arial Narrow"/>
          <w:b/>
          <w:sz w:val="24"/>
          <w:szCs w:val="24"/>
        </w:rPr>
        <w:t xml:space="preserve">Departamento de Nariño </w:t>
      </w: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DA6750" w:rsidRDefault="00DA6750" w:rsidP="00117551">
      <w:pPr>
        <w:spacing w:after="0"/>
        <w:jc w:val="both"/>
        <w:rPr>
          <w:rFonts w:ascii="Arial Narrow" w:hAnsi="Arial Narrow"/>
          <w:b/>
          <w:sz w:val="24"/>
          <w:szCs w:val="24"/>
        </w:rPr>
      </w:pPr>
    </w:p>
    <w:p w:rsidR="00A6355D" w:rsidRPr="0092733F" w:rsidRDefault="00A6355D" w:rsidP="00117551">
      <w:pPr>
        <w:spacing w:after="0"/>
        <w:rPr>
          <w:rFonts w:ascii="Arial Narrow" w:hAnsi="Arial Narrow"/>
          <w:sz w:val="24"/>
          <w:szCs w:val="24"/>
        </w:rPr>
      </w:pPr>
    </w:p>
    <w:sectPr w:rsidR="00A6355D" w:rsidRPr="0092733F" w:rsidSect="001722BE">
      <w:headerReference w:type="default" r:id="rId19"/>
      <w:footerReference w:type="default" r:id="rId20"/>
      <w:pgSz w:w="12240" w:h="15840" w:code="1"/>
      <w:pgMar w:top="1985" w:right="1701" w:bottom="1985" w:left="1701" w:header="709" w:footer="537"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22C0B" w:rsidRDefault="00122C0B">
      <w:pPr>
        <w:spacing w:after="0" w:line="240" w:lineRule="auto"/>
      </w:pPr>
      <w:r>
        <w:separator/>
      </w:r>
    </w:p>
  </w:endnote>
  <w:endnote w:type="continuationSeparator" w:id="0">
    <w:p w:rsidR="00122C0B" w:rsidRDefault="00122C0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Noto Sans Symbols">
    <w:altName w:val="Calibri"/>
    <w:charset w:val="00"/>
    <w:family w:val="auto"/>
    <w:pitch w:val="default"/>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onotype Corsiva">
    <w:panose1 w:val="03010101010201010101"/>
    <w:charset w:val="00"/>
    <w:family w:val="script"/>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93A" w:rsidRDefault="00F0793A" w:rsidP="002910B1">
    <w:pPr>
      <w:pStyle w:val="Piedepgina"/>
      <w:jc w:val="center"/>
      <w:rPr>
        <w:rFonts w:ascii="Monotype Corsiva" w:hAnsi="Monotype Corsiva"/>
      </w:rPr>
    </w:pPr>
  </w:p>
  <w:p w:rsidR="00F0793A" w:rsidRPr="00E34638" w:rsidRDefault="00F0793A" w:rsidP="002910B1">
    <w:pPr>
      <w:pStyle w:val="Piedepgina"/>
      <w:jc w:val="center"/>
      <w:rPr>
        <w:rFonts w:ascii="Monotype Corsiva" w:hAnsi="Monotype Corsiva"/>
      </w:rPr>
    </w:pPr>
    <w:r w:rsidRPr="00E34638">
      <w:rPr>
        <w:rFonts w:ascii="Monotype Corsiva" w:eastAsia="Times New Roman" w:hAnsi="Monotype Corsiva" w:cs="Times New Roman"/>
        <w:noProof/>
        <w:sz w:val="24"/>
        <w:szCs w:val="24"/>
        <w:lang w:eastAsia="es-CO"/>
      </w:rPr>
      <w:drawing>
        <wp:anchor distT="0" distB="0" distL="114300" distR="114300" simplePos="0" relativeHeight="251660288" behindDoc="1" locked="0" layoutInCell="1" allowOverlap="1" wp14:anchorId="3B79E625" wp14:editId="4E7EFA53">
          <wp:simplePos x="0" y="0"/>
          <wp:positionH relativeFrom="page">
            <wp:align>center</wp:align>
          </wp:positionH>
          <wp:positionV relativeFrom="paragraph">
            <wp:posOffset>-263294</wp:posOffset>
          </wp:positionV>
          <wp:extent cx="3111500" cy="266700"/>
          <wp:effectExtent l="0" t="0" r="0" b="0"/>
          <wp:wrapTight wrapText="bothSides">
            <wp:wrapPolygon edited="0">
              <wp:start x="0" y="0"/>
              <wp:lineTo x="0" y="20057"/>
              <wp:lineTo x="21424" y="20057"/>
              <wp:lineTo x="21424" y="0"/>
              <wp:lineTo x="0" y="0"/>
            </wp:wrapPolygon>
          </wp:wrapTight>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1500" cy="2667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Monotype Corsiva" w:hAnsi="Monotype Corsiva"/>
      </w:rPr>
      <w:t>Carrera 7 No.</w:t>
    </w:r>
    <w:r w:rsidRPr="00E34638">
      <w:rPr>
        <w:rFonts w:ascii="Monotype Corsiva" w:hAnsi="Monotype Corsiva"/>
      </w:rPr>
      <w:t xml:space="preserve"> 8 – 68. Edificio del Nuevo Congreso. Oficina 624B. Bogotá D.C.</w:t>
    </w:r>
  </w:p>
  <w:p w:rsidR="00F0793A" w:rsidRPr="00E34638" w:rsidRDefault="00F0793A" w:rsidP="002910B1">
    <w:pPr>
      <w:pStyle w:val="Piedepgina"/>
      <w:jc w:val="center"/>
      <w:rPr>
        <w:rFonts w:ascii="Monotype Corsiva" w:hAnsi="Monotype Corsiva"/>
      </w:rPr>
    </w:pPr>
    <w:r w:rsidRPr="00E34638">
      <w:rPr>
        <w:rFonts w:ascii="Monotype Corsiva" w:hAnsi="Monotype Corsiva"/>
      </w:rPr>
      <w:t xml:space="preserve">Teléfono </w:t>
    </w:r>
    <w:r>
      <w:rPr>
        <w:rFonts w:ascii="Monotype Corsiva" w:hAnsi="Monotype Corsiva"/>
      </w:rPr>
      <w:t xml:space="preserve">4325100 ext.: 4489 </w:t>
    </w:r>
    <w:r w:rsidRPr="00E34638">
      <w:rPr>
        <w:rFonts w:ascii="Monotype Corsiva" w:hAnsi="Monotype Corsiva"/>
      </w:rPr>
      <w:t>– 3117074721. Correo: teresaenriquezrosero@gma</w:t>
    </w:r>
    <w:r>
      <w:rPr>
        <w:rFonts w:ascii="Monotype Corsiva" w:hAnsi="Monotype Corsiva"/>
      </w:rPr>
      <w:t>il.com – teresa.enriquez@camara.</w:t>
    </w:r>
    <w:r w:rsidRPr="00E34638">
      <w:rPr>
        <w:rFonts w:ascii="Monotype Corsiva" w:hAnsi="Monotype Corsiva"/>
      </w:rPr>
      <w:t>gov.co</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22C0B" w:rsidRDefault="00122C0B">
      <w:pPr>
        <w:spacing w:after="0" w:line="240" w:lineRule="auto"/>
      </w:pPr>
      <w:r>
        <w:separator/>
      </w:r>
    </w:p>
  </w:footnote>
  <w:footnote w:type="continuationSeparator" w:id="0">
    <w:p w:rsidR="00122C0B" w:rsidRDefault="00122C0B">
      <w:pPr>
        <w:spacing w:after="0" w:line="240" w:lineRule="auto"/>
      </w:pPr>
      <w:r>
        <w:continuationSeparator/>
      </w:r>
    </w:p>
  </w:footnote>
  <w:footnote w:id="1">
    <w:p w:rsidR="00F0793A" w:rsidRDefault="00F0793A" w:rsidP="00C939F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Informe de Disposición Final de Residuos Sólidos 2014, DNP.</w:t>
      </w:r>
    </w:p>
  </w:footnote>
  <w:footnote w:id="2">
    <w:p w:rsidR="00F0793A" w:rsidRDefault="00F0793A" w:rsidP="00C939F8">
      <w:pPr>
        <w:pBdr>
          <w:top w:val="nil"/>
          <w:left w:val="nil"/>
          <w:bottom w:val="nil"/>
          <w:right w:val="nil"/>
          <w:between w:val="nil"/>
        </w:pBdr>
        <w:spacing w:after="0" w:line="240" w:lineRule="auto"/>
        <w:rPr>
          <w:i/>
          <w:color w:val="000000"/>
          <w:sz w:val="20"/>
          <w:szCs w:val="20"/>
        </w:rPr>
      </w:pPr>
      <w:r>
        <w:rPr>
          <w:vertAlign w:val="superscript"/>
        </w:rPr>
        <w:footnoteRef/>
      </w:r>
      <w:r>
        <w:rPr>
          <w:color w:val="000000"/>
          <w:sz w:val="20"/>
          <w:szCs w:val="20"/>
        </w:rPr>
        <w:t xml:space="preserve"> </w:t>
      </w:r>
      <w:r>
        <w:rPr>
          <w:i/>
          <w:color w:val="000000"/>
          <w:sz w:val="20"/>
          <w:szCs w:val="20"/>
        </w:rPr>
        <w:t xml:space="preserve">*Nota: En el informe “Disposición Final de Residuos Sólidos”, elaborado por el DNP y la Superservicios (2016), del cual se tomó la anterior información. se consideró la vida útil establecida en los permisos ambientales y se establecieron unos rangos para categorizar los sistemas de disposición final de acuerdo con los plazos establecidos en el instrumento de seguimiento del sitio de disposición final (vencida, 0 – 3 años, 3 – 10 años y más 10 de años). </w:t>
      </w:r>
    </w:p>
    <w:p w:rsidR="00F0793A" w:rsidRDefault="00F0793A" w:rsidP="00C939F8">
      <w:pPr>
        <w:pBdr>
          <w:top w:val="nil"/>
          <w:left w:val="nil"/>
          <w:bottom w:val="nil"/>
          <w:right w:val="nil"/>
          <w:between w:val="nil"/>
        </w:pBdr>
        <w:spacing w:after="0" w:line="240" w:lineRule="auto"/>
        <w:rPr>
          <w:color w:val="000000"/>
          <w:sz w:val="20"/>
          <w:szCs w:val="20"/>
        </w:rPr>
      </w:pPr>
    </w:p>
  </w:footnote>
  <w:footnote w:id="3">
    <w:p w:rsidR="00F0793A" w:rsidRDefault="00F0793A" w:rsidP="00C939F8">
      <w:pPr>
        <w:pBdr>
          <w:top w:val="nil"/>
          <w:left w:val="nil"/>
          <w:bottom w:val="nil"/>
          <w:right w:val="nil"/>
          <w:between w:val="nil"/>
        </w:pBdr>
        <w:spacing w:after="0" w:line="240" w:lineRule="auto"/>
        <w:rPr>
          <w:color w:val="000000"/>
          <w:sz w:val="20"/>
          <w:szCs w:val="20"/>
        </w:rPr>
      </w:pPr>
      <w:r>
        <w:rPr>
          <w:vertAlign w:val="superscript"/>
        </w:rPr>
        <w:footnoteRef/>
      </w:r>
      <w:r>
        <w:rPr>
          <w:color w:val="000000"/>
          <w:sz w:val="20"/>
          <w:szCs w:val="20"/>
        </w:rPr>
        <w:t xml:space="preserve"> ministerio de ambiente, vivienda y desarrollo territorial decreto número (0838) 23 de marzo de 2005.</w:t>
      </w:r>
    </w:p>
    <w:p w:rsidR="00F0793A" w:rsidRDefault="00F0793A" w:rsidP="00C939F8">
      <w:pPr>
        <w:pBdr>
          <w:top w:val="nil"/>
          <w:left w:val="nil"/>
          <w:bottom w:val="nil"/>
          <w:right w:val="nil"/>
          <w:between w:val="nil"/>
        </w:pBdr>
        <w:spacing w:after="0" w:line="240" w:lineRule="auto"/>
        <w:rPr>
          <w:color w:val="000000"/>
          <w:sz w:val="20"/>
          <w:szCs w:val="20"/>
        </w:rPr>
      </w:pPr>
    </w:p>
  </w:footnote>
  <w:footnote w:id="4">
    <w:p w:rsidR="00F0793A" w:rsidRPr="005924C0" w:rsidRDefault="00F0793A" w:rsidP="00C939F8">
      <w:pPr>
        <w:pStyle w:val="Textonotapie"/>
      </w:pPr>
      <w:r>
        <w:rPr>
          <w:rStyle w:val="Refdenotaalpie"/>
        </w:rPr>
        <w:footnoteRef/>
      </w:r>
      <w:r>
        <w:t xml:space="preserve"> </w:t>
      </w:r>
      <w:hyperlink r:id="rId1">
        <w:r w:rsidRPr="005924C0">
          <w:rPr>
            <w:rStyle w:val="Hipervnculo"/>
          </w:rPr>
          <w:t>OCAMPO, Carmen Elisa</w:t>
        </w:r>
      </w:hyperlink>
      <w:r w:rsidRPr="005924C0">
        <w:t xml:space="preserve">; </w:t>
      </w:r>
      <w:hyperlink r:id="rId2">
        <w:r w:rsidRPr="005924C0">
          <w:rPr>
            <w:rStyle w:val="Hipervnculo"/>
          </w:rPr>
          <w:t>PRADILLA, Alberto</w:t>
        </w:r>
      </w:hyperlink>
      <w:r w:rsidRPr="005924C0">
        <w:t xml:space="preserve">  and  </w:t>
      </w:r>
      <w:hyperlink r:id="rId3">
        <w:r w:rsidRPr="005924C0">
          <w:rPr>
            <w:rStyle w:val="Hipervnculo"/>
          </w:rPr>
          <w:t>MENDEZ, Fabián</w:t>
        </w:r>
      </w:hyperlink>
      <w:r w:rsidRPr="005924C0">
        <w:t>.</w:t>
      </w:r>
      <w:r w:rsidRPr="005924C0">
        <w:rPr>
          <w:b/>
        </w:rPr>
        <w:t>Impacto de un depósito de residuos sólidos en el crecimiento físico infantil.</w:t>
      </w:r>
      <w:r w:rsidRPr="005924C0">
        <w:rPr>
          <w:i/>
        </w:rPr>
        <w:t xml:space="preserve"> Colomb. Med.</w:t>
      </w:r>
      <w:r w:rsidRPr="005924C0">
        <w:t xml:space="preserve"> [online]. 2008, vol.39, n.3, pp.253-259. ISSN 1657-9534</w:t>
      </w:r>
    </w:p>
    <w:p w:rsidR="00F0793A" w:rsidRDefault="00F0793A" w:rsidP="00C939F8">
      <w:pPr>
        <w:pStyle w:val="Textonotapie"/>
      </w:pPr>
    </w:p>
  </w:footnote>
  <w:footnote w:id="5">
    <w:p w:rsidR="00F0793A" w:rsidRPr="005924C0" w:rsidRDefault="00F0793A" w:rsidP="00C939F8">
      <w:pPr>
        <w:pStyle w:val="Textonotapie"/>
      </w:pPr>
      <w:r>
        <w:rPr>
          <w:rStyle w:val="Refdenotaalpie"/>
        </w:rPr>
        <w:footnoteRef/>
      </w:r>
      <w:r>
        <w:t xml:space="preserve"> </w:t>
      </w:r>
      <w:r w:rsidRPr="005924C0">
        <w:t xml:space="preserve">resumen de los impactos ambientales y sobre la salud de los rellenos sanitarios </w:t>
      </w:r>
      <w:r>
        <w:t>,</w:t>
      </w:r>
      <w:r w:rsidRPr="005924C0">
        <w:rPr>
          <w:rFonts w:eastAsia="Times New Roman"/>
          <w:sz w:val="30"/>
          <w:szCs w:val="30"/>
        </w:rPr>
        <w:t xml:space="preserve"> </w:t>
      </w:r>
      <w:r w:rsidRPr="005924C0">
        <w:t xml:space="preserve">Mayo 2004. Segunda Revisión: Julio 2004.Tercera revisión: Septiembre 2008 </w:t>
      </w:r>
      <w:r>
        <w:t>,</w:t>
      </w:r>
      <w:r w:rsidRPr="005924C0">
        <w:t xml:space="preserve">Campaña Contra la Contaminación Greenpeace Argentina </w:t>
      </w:r>
      <w:r>
        <w:t>.</w:t>
      </w:r>
    </w:p>
    <w:p w:rsidR="00F0793A" w:rsidRPr="005924C0" w:rsidRDefault="00F0793A" w:rsidP="00C939F8">
      <w:pPr>
        <w:pStyle w:val="Textonotapie"/>
      </w:pPr>
    </w:p>
    <w:p w:rsidR="00F0793A" w:rsidRDefault="00F0793A" w:rsidP="00C939F8">
      <w:pPr>
        <w:pStyle w:val="Textonotapie"/>
      </w:pPr>
    </w:p>
  </w:footnote>
  <w:footnote w:id="6">
    <w:p w:rsidR="00F0793A" w:rsidRPr="00A52C0F" w:rsidRDefault="00F0793A" w:rsidP="00C939F8">
      <w:pPr>
        <w:pStyle w:val="Textonotapie"/>
      </w:pPr>
      <w:r>
        <w:rPr>
          <w:rStyle w:val="Refdenotaalpie"/>
        </w:rPr>
        <w:footnoteRef/>
      </w:r>
      <w:r>
        <w:t xml:space="preserve"> </w:t>
      </w:r>
      <w:r w:rsidRPr="00A52C0F">
        <w:t>INFORME SOBRE LOS RESIDUOS URBANOS Y SU GESTIÓN Y TRATAMIENTO PARA EL TERRITORIO</w:t>
      </w:r>
      <w:r>
        <w:t xml:space="preserve"> </w:t>
      </w:r>
      <w:r w:rsidRPr="00A52C0F">
        <w:t>GUIPUZCOANO</w:t>
      </w:r>
      <w:r>
        <w:t>, Universidad del pis vasco, 2013.</w:t>
      </w:r>
    </w:p>
    <w:p w:rsidR="00F0793A" w:rsidRDefault="00F0793A" w:rsidP="00C939F8">
      <w:pPr>
        <w:pStyle w:val="Textonotapie"/>
      </w:pPr>
    </w:p>
  </w:footnote>
  <w:footnote w:id="7">
    <w:p w:rsidR="00F0793A" w:rsidRDefault="00F0793A" w:rsidP="00C939F8">
      <w:pPr>
        <w:pStyle w:val="Textonotapie"/>
      </w:pPr>
      <w:r>
        <w:rPr>
          <w:rStyle w:val="Refdenotaalpie"/>
        </w:rPr>
        <w:footnoteRef/>
      </w:r>
      <w:r>
        <w:t xml:space="preserve"> Collazos, Héctor. Deslizamiento de Basura en el Relleno Sanitario Doña Juana. Enero de 1998.</w:t>
      </w:r>
    </w:p>
    <w:p w:rsidR="00F0793A" w:rsidRDefault="00F0793A" w:rsidP="00C939F8">
      <w:pPr>
        <w:pStyle w:val="Textonotapie"/>
      </w:pPr>
      <w:r>
        <w:t>http://www.bvsde.paho.org/eswww/fulltext/gtz/deslbasu/deslbasu.html. Visto: 23/09/2016.</w:t>
      </w:r>
    </w:p>
  </w:footnote>
  <w:footnote w:id="8">
    <w:p w:rsidR="00F0793A" w:rsidRDefault="00F0793A" w:rsidP="00C939F8">
      <w:pPr>
        <w:pStyle w:val="Textonotapie"/>
      </w:pPr>
      <w:r>
        <w:rPr>
          <w:rStyle w:val="Refdenotaalpie"/>
        </w:rPr>
        <w:footnoteRef/>
      </w:r>
      <w:r>
        <w:t xml:space="preserve"> Recopilación de hechos, acción Acción Popular – Relleno Sanitario Doña Juana, Accionante: Inti Raúl Asprilla Reyes </w:t>
      </w:r>
    </w:p>
  </w:footnote>
  <w:footnote w:id="9">
    <w:p w:rsidR="00F0793A" w:rsidRDefault="00F0793A" w:rsidP="00F367F4">
      <w:pPr>
        <w:pStyle w:val="Textonotapie"/>
        <w:jc w:val="both"/>
      </w:pPr>
      <w:r>
        <w:rPr>
          <w:rStyle w:val="Refdenotaalpie"/>
        </w:rPr>
        <w:footnoteRef/>
      </w:r>
      <w:r>
        <w:t xml:space="preserve"> El Heraldo. </w:t>
      </w:r>
      <w:r w:rsidRPr="00895D3A">
        <w:t>“Colombia pierde $2 billones anuales por no reciclar desechos plásticos”</w:t>
      </w:r>
      <w:r>
        <w:t xml:space="preserve"> del 10 de junio de 2019, recuperado el 25 de octubre de 2019, consultado en </w:t>
      </w:r>
      <w:hyperlink r:id="rId4" w:history="1">
        <w:r>
          <w:rPr>
            <w:rStyle w:val="Hipervnculo"/>
          </w:rPr>
          <w:t>https://www.elheraldo.co/economia/colombia-pierde-2-billones-anuales-por-no-reciclar-desechos-plasticos-640305</w:t>
        </w:r>
      </w:hyperlink>
      <w:r>
        <w:t xml:space="preserve"> </w:t>
      </w:r>
    </w:p>
  </w:footnote>
  <w:footnote w:id="10">
    <w:p w:rsidR="00F0793A" w:rsidRPr="00391217" w:rsidRDefault="00F0793A" w:rsidP="00391217">
      <w:pPr>
        <w:pStyle w:val="Textonotapie"/>
        <w:jc w:val="both"/>
        <w:rPr>
          <w:lang w:val="es-CO"/>
        </w:rPr>
      </w:pPr>
      <w:r>
        <w:rPr>
          <w:rStyle w:val="Refdenotaalpie"/>
        </w:rPr>
        <w:footnoteRef/>
      </w:r>
      <w:r>
        <w:t xml:space="preserve"> </w:t>
      </w:r>
      <w:r>
        <w:rPr>
          <w:lang w:val="es-CO"/>
        </w:rPr>
        <w:t xml:space="preserve">Sostenibilidad para todos. </w:t>
      </w:r>
      <w:r>
        <w:rPr>
          <w:i/>
          <w:lang w:val="es-CO"/>
        </w:rPr>
        <w:t xml:space="preserve">¿En qué consiste la economía circular?. </w:t>
      </w:r>
      <w:r>
        <w:rPr>
          <w:lang w:val="es-CO"/>
        </w:rPr>
        <w:t xml:space="preserve">Consultado el 15 de octubre de 2019, recuperado en </w:t>
      </w:r>
      <w:hyperlink r:id="rId5" w:history="1">
        <w:r>
          <w:rPr>
            <w:rStyle w:val="Hipervnculo"/>
          </w:rPr>
          <w:t>https://www.sostenibilidad.com/desarrollo-sostenible/en-que-consiste-la-economia-circular/</w:t>
        </w:r>
      </w:hyperlink>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793A" w:rsidRPr="008F3BE7" w:rsidRDefault="00F0793A" w:rsidP="002910B1">
    <w:pPr>
      <w:pStyle w:val="Encabezado"/>
      <w:jc w:val="center"/>
      <w:rPr>
        <w:b/>
        <w:noProof/>
        <w:lang w:eastAsia="es-CO"/>
      </w:rPr>
    </w:pPr>
    <w:r w:rsidRPr="008F3BE7">
      <w:rPr>
        <w:b/>
        <w:noProof/>
        <w:lang w:eastAsia="es-CO"/>
      </w:rPr>
      <w:drawing>
        <wp:anchor distT="0" distB="0" distL="114300" distR="114300" simplePos="0" relativeHeight="251659264" behindDoc="1" locked="0" layoutInCell="1" allowOverlap="1" wp14:anchorId="6649659D" wp14:editId="28CC2A27">
          <wp:simplePos x="0" y="0"/>
          <wp:positionH relativeFrom="margin">
            <wp:align>center</wp:align>
          </wp:positionH>
          <wp:positionV relativeFrom="paragraph">
            <wp:posOffset>-272415</wp:posOffset>
          </wp:positionV>
          <wp:extent cx="2129790" cy="961390"/>
          <wp:effectExtent l="0" t="0" r="3810" b="0"/>
          <wp:wrapTight wrapText="bothSides">
            <wp:wrapPolygon edited="0">
              <wp:start x="0" y="0"/>
              <wp:lineTo x="0" y="20972"/>
              <wp:lineTo x="21445" y="20972"/>
              <wp:lineTo x="21445" y="0"/>
              <wp:lineTo x="0" y="0"/>
            </wp:wrapPolygon>
          </wp:wrapTight>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
                    <a:extLst>
                      <a:ext uri="{28A0092B-C50C-407E-A947-70E740481C1C}">
                        <a14:useLocalDpi xmlns:a14="http://schemas.microsoft.com/office/drawing/2010/main" val="0"/>
                      </a:ext>
                    </a:extLst>
                  </a:blip>
                  <a:srcRect b="2620"/>
                  <a:stretch/>
                </pic:blipFill>
                <pic:spPr bwMode="auto">
                  <a:xfrm>
                    <a:off x="0" y="0"/>
                    <a:ext cx="2129790" cy="9613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0793A" w:rsidRPr="008F3BE7" w:rsidRDefault="00F0793A" w:rsidP="002910B1">
    <w:pPr>
      <w:pStyle w:val="Encabezado"/>
      <w:jc w:val="cent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8227F6"/>
    <w:multiLevelType w:val="hybridMultilevel"/>
    <w:tmpl w:val="DFD0C832"/>
    <w:lvl w:ilvl="0" w:tplc="BA2EEBBA">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08111D3B"/>
    <w:multiLevelType w:val="hybridMultilevel"/>
    <w:tmpl w:val="5F88578A"/>
    <w:lvl w:ilvl="0" w:tplc="1D2438C6">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F7D58AF"/>
    <w:multiLevelType w:val="hybridMultilevel"/>
    <w:tmpl w:val="CC38F7A4"/>
    <w:lvl w:ilvl="0" w:tplc="240A000F">
      <w:start w:val="4"/>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start w:val="1"/>
      <w:numFmt w:val="lowerRoman"/>
      <w:lvlText w:val="%3."/>
      <w:lvlJc w:val="right"/>
      <w:pPr>
        <w:ind w:left="2160" w:hanging="180"/>
      </w:pPr>
    </w:lvl>
    <w:lvl w:ilvl="3" w:tplc="240A000F">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C0C38BF"/>
    <w:multiLevelType w:val="hybridMultilevel"/>
    <w:tmpl w:val="DC983A0A"/>
    <w:lvl w:ilvl="0" w:tplc="19F2B6D0">
      <w:numFmt w:val="bullet"/>
      <w:lvlText w:val=""/>
      <w:lvlJc w:val="left"/>
      <w:pPr>
        <w:ind w:left="720" w:hanging="360"/>
      </w:pPr>
      <w:rPr>
        <w:rFonts w:ascii="Symbol" w:eastAsia="Times New Roman"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 w15:restartNumberingAfterBreak="0">
    <w:nsid w:val="1FF22EFD"/>
    <w:multiLevelType w:val="hybridMultilevel"/>
    <w:tmpl w:val="2A486EE2"/>
    <w:lvl w:ilvl="0" w:tplc="FD00998C">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15:restartNumberingAfterBreak="0">
    <w:nsid w:val="267918F1"/>
    <w:multiLevelType w:val="hybridMultilevel"/>
    <w:tmpl w:val="772651A4"/>
    <w:lvl w:ilvl="0" w:tplc="7436B432">
      <w:numFmt w:val="bullet"/>
      <w:lvlText w:val="-"/>
      <w:lvlJc w:val="left"/>
      <w:pPr>
        <w:ind w:left="720" w:hanging="360"/>
      </w:pPr>
      <w:rPr>
        <w:rFonts w:ascii="Arial Narrow" w:eastAsiaTheme="minorHAnsi" w:hAnsi="Arial Narrow"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15:restartNumberingAfterBreak="0">
    <w:nsid w:val="26A24DF3"/>
    <w:multiLevelType w:val="hybridMultilevel"/>
    <w:tmpl w:val="3D30C4B6"/>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7" w15:restartNumberingAfterBreak="0">
    <w:nsid w:val="38F07C1E"/>
    <w:multiLevelType w:val="multilevel"/>
    <w:tmpl w:val="84ECDAE4"/>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3FA851A6"/>
    <w:multiLevelType w:val="hybridMultilevel"/>
    <w:tmpl w:val="E7A66374"/>
    <w:lvl w:ilvl="0" w:tplc="C0261CA4">
      <w:start w:val="1"/>
      <w:numFmt w:val="lowerLetter"/>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3FE86607"/>
    <w:multiLevelType w:val="multilevel"/>
    <w:tmpl w:val="AD94879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0" w15:restartNumberingAfterBreak="0">
    <w:nsid w:val="42F62B77"/>
    <w:multiLevelType w:val="hybridMultilevel"/>
    <w:tmpl w:val="B15CB9D4"/>
    <w:lvl w:ilvl="0" w:tplc="A61AC450">
      <w:start w:val="1"/>
      <w:numFmt w:val="decimal"/>
      <w:lvlText w:val="%1."/>
      <w:lvlJc w:val="left"/>
      <w:pPr>
        <w:ind w:left="720" w:hanging="360"/>
      </w:pPr>
      <w:rPr>
        <w:rFonts w:hint="default"/>
        <w:b/>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43E03B3B"/>
    <w:multiLevelType w:val="hybridMultilevel"/>
    <w:tmpl w:val="8A2C278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4677741D"/>
    <w:multiLevelType w:val="hybridMultilevel"/>
    <w:tmpl w:val="83F837A2"/>
    <w:lvl w:ilvl="0" w:tplc="3232FCD0">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15:restartNumberingAfterBreak="0">
    <w:nsid w:val="4E7D62B8"/>
    <w:multiLevelType w:val="hybridMultilevel"/>
    <w:tmpl w:val="48D43E20"/>
    <w:lvl w:ilvl="0" w:tplc="B414DA84">
      <w:start w:val="1"/>
      <w:numFmt w:val="bullet"/>
      <w:lvlText w:val=""/>
      <w:lvlJc w:val="left"/>
      <w:pPr>
        <w:ind w:left="720" w:hanging="360"/>
      </w:pPr>
      <w:rPr>
        <w:rFonts w:ascii="Wingdings" w:hAnsi="Wingding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4F8A3854"/>
    <w:multiLevelType w:val="hybridMultilevel"/>
    <w:tmpl w:val="6BC4B7B8"/>
    <w:lvl w:ilvl="0" w:tplc="B3C29178">
      <w:start w:val="1"/>
      <w:numFmt w:val="bullet"/>
      <w:lvlText w:val=""/>
      <w:lvlJc w:val="left"/>
      <w:pPr>
        <w:ind w:left="720" w:hanging="360"/>
      </w:pPr>
      <w:rPr>
        <w:rFonts w:ascii="Wingdings" w:hAnsi="Wingding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5" w15:restartNumberingAfterBreak="0">
    <w:nsid w:val="505D34A2"/>
    <w:multiLevelType w:val="hybridMultilevel"/>
    <w:tmpl w:val="B0565A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6" w15:restartNumberingAfterBreak="0">
    <w:nsid w:val="53786DAD"/>
    <w:multiLevelType w:val="hybridMultilevel"/>
    <w:tmpl w:val="7ABC10B8"/>
    <w:lvl w:ilvl="0" w:tplc="CABE5A16">
      <w:start w:val="1"/>
      <w:numFmt w:val="bullet"/>
      <w:lvlText w:val="-"/>
      <w:lvlJc w:val="left"/>
      <w:pPr>
        <w:ind w:left="720" w:hanging="360"/>
      </w:pPr>
      <w:rPr>
        <w:rFonts w:ascii="Arial" w:eastAsia="Arial" w:hAnsi="Aria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7" w15:restartNumberingAfterBreak="0">
    <w:nsid w:val="56885CCB"/>
    <w:multiLevelType w:val="hybridMultilevel"/>
    <w:tmpl w:val="39A6FD0E"/>
    <w:lvl w:ilvl="0" w:tplc="BB40FCBA">
      <w:start w:val="1"/>
      <w:numFmt w:val="bullet"/>
      <w:lvlText w:val="×"/>
      <w:lvlJc w:val="left"/>
      <w:pPr>
        <w:ind w:left="720" w:hanging="360"/>
      </w:pPr>
      <w:rPr>
        <w:rFonts w:ascii="Arial" w:hAnsi="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8" w15:restartNumberingAfterBreak="0">
    <w:nsid w:val="5C625E1A"/>
    <w:multiLevelType w:val="hybridMultilevel"/>
    <w:tmpl w:val="015C619C"/>
    <w:lvl w:ilvl="0" w:tplc="71A2F57A">
      <w:start w:val="3"/>
      <w:numFmt w:val="bullet"/>
      <w:lvlText w:val=""/>
      <w:lvlJc w:val="left"/>
      <w:pPr>
        <w:ind w:left="720" w:hanging="360"/>
      </w:pPr>
      <w:rPr>
        <w:rFonts w:ascii="Symbol" w:eastAsiaTheme="minorHAnsi" w:hAnsi="Symbol" w:cstheme="minorBid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9" w15:restartNumberingAfterBreak="0">
    <w:nsid w:val="5EC567CF"/>
    <w:multiLevelType w:val="hybridMultilevel"/>
    <w:tmpl w:val="B0565AF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5FC01D16"/>
    <w:multiLevelType w:val="hybridMultilevel"/>
    <w:tmpl w:val="C06A5608"/>
    <w:lvl w:ilvl="0" w:tplc="BEFAF4C4">
      <w:start w:val="6"/>
      <w:numFmt w:val="bullet"/>
      <w:lvlText w:val=""/>
      <w:lvlJc w:val="left"/>
      <w:pPr>
        <w:ind w:left="720" w:hanging="360"/>
      </w:pPr>
      <w:rPr>
        <w:rFonts w:ascii="Symbol" w:eastAsia="Arial" w:hAnsi="Symbo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21" w15:restartNumberingAfterBreak="0">
    <w:nsid w:val="669A77F1"/>
    <w:multiLevelType w:val="hybridMultilevel"/>
    <w:tmpl w:val="6FA450F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67382320"/>
    <w:multiLevelType w:val="hybridMultilevel"/>
    <w:tmpl w:val="6E923BE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6D5F20FD"/>
    <w:multiLevelType w:val="multilevel"/>
    <w:tmpl w:val="88B63C5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b/>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7AC23087"/>
    <w:multiLevelType w:val="hybridMultilevel"/>
    <w:tmpl w:val="FEC0A8BA"/>
    <w:lvl w:ilvl="0" w:tplc="F726FCD4">
      <w:start w:val="1"/>
      <w:numFmt w:val="bullet"/>
      <w:lvlText w:val=""/>
      <w:lvlJc w:val="left"/>
      <w:pPr>
        <w:ind w:left="720" w:hanging="360"/>
      </w:pPr>
      <w:rPr>
        <w:rFonts w:ascii="Symbol" w:eastAsia="Arial" w:hAnsi="Symbol" w:cs="Aria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5" w15:restartNumberingAfterBreak="0">
    <w:nsid w:val="7E2B0DAA"/>
    <w:multiLevelType w:val="hybridMultilevel"/>
    <w:tmpl w:val="B588A488"/>
    <w:lvl w:ilvl="0" w:tplc="91E6960A">
      <w:start w:val="1"/>
      <w:numFmt w:val="bullet"/>
      <w:lvlText w:val=""/>
      <w:lvlJc w:val="left"/>
      <w:pPr>
        <w:ind w:left="720" w:hanging="360"/>
      </w:pPr>
      <w:rPr>
        <w:rFonts w:ascii="Wingdings" w:hAnsi="Wingdings"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11"/>
  </w:num>
  <w:num w:numId="2">
    <w:abstractNumId w:val="4"/>
  </w:num>
  <w:num w:numId="3">
    <w:abstractNumId w:val="21"/>
  </w:num>
  <w:num w:numId="4">
    <w:abstractNumId w:val="22"/>
  </w:num>
  <w:num w:numId="5">
    <w:abstractNumId w:val="17"/>
  </w:num>
  <w:num w:numId="6">
    <w:abstractNumId w:val="14"/>
  </w:num>
  <w:num w:numId="7">
    <w:abstractNumId w:val="25"/>
  </w:num>
  <w:num w:numId="8">
    <w:abstractNumId w:val="13"/>
  </w:num>
  <w:num w:numId="9">
    <w:abstractNumId w:val="23"/>
  </w:num>
  <w:num w:numId="10">
    <w:abstractNumId w:val="24"/>
  </w:num>
  <w:num w:numId="11">
    <w:abstractNumId w:val="6"/>
  </w:num>
  <w:num w:numId="12">
    <w:abstractNumId w:val="3"/>
  </w:num>
  <w:num w:numId="13">
    <w:abstractNumId w:val="16"/>
  </w:num>
  <w:num w:numId="14">
    <w:abstractNumId w:val="19"/>
  </w:num>
  <w:num w:numId="15">
    <w:abstractNumId w:val="15"/>
  </w:num>
  <w:num w:numId="16">
    <w:abstractNumId w:val="18"/>
  </w:num>
  <w:num w:numId="17">
    <w:abstractNumId w:val="2"/>
  </w:num>
  <w:num w:numId="18">
    <w:abstractNumId w:val="7"/>
  </w:num>
  <w:num w:numId="19">
    <w:abstractNumId w:val="0"/>
  </w:num>
  <w:num w:numId="20">
    <w:abstractNumId w:val="8"/>
  </w:num>
  <w:num w:numId="21">
    <w:abstractNumId w:val="1"/>
  </w:num>
  <w:num w:numId="22">
    <w:abstractNumId w:val="9"/>
  </w:num>
  <w:num w:numId="23">
    <w:abstractNumId w:val="10"/>
  </w:num>
  <w:num w:numId="24">
    <w:abstractNumId w:val="5"/>
  </w:num>
  <w:num w:numId="25">
    <w:abstractNumId w:val="12"/>
  </w:num>
  <w:num w:numId="26">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E1B44"/>
    <w:rsid w:val="00023500"/>
    <w:rsid w:val="000439D3"/>
    <w:rsid w:val="0004438A"/>
    <w:rsid w:val="00056C69"/>
    <w:rsid w:val="00064439"/>
    <w:rsid w:val="00064D47"/>
    <w:rsid w:val="00072BF9"/>
    <w:rsid w:val="00076F5C"/>
    <w:rsid w:val="000914D5"/>
    <w:rsid w:val="000C1EC0"/>
    <w:rsid w:val="00110AA8"/>
    <w:rsid w:val="00117551"/>
    <w:rsid w:val="00122C0B"/>
    <w:rsid w:val="001373BC"/>
    <w:rsid w:val="001522A7"/>
    <w:rsid w:val="00160D5A"/>
    <w:rsid w:val="00165206"/>
    <w:rsid w:val="001722BE"/>
    <w:rsid w:val="00174EA7"/>
    <w:rsid w:val="001868E5"/>
    <w:rsid w:val="001B7DD1"/>
    <w:rsid w:val="001D7137"/>
    <w:rsid w:val="002240EB"/>
    <w:rsid w:val="00237363"/>
    <w:rsid w:val="00254D6A"/>
    <w:rsid w:val="00277B0B"/>
    <w:rsid w:val="00287368"/>
    <w:rsid w:val="002910B1"/>
    <w:rsid w:val="002958E6"/>
    <w:rsid w:val="002E6143"/>
    <w:rsid w:val="002E6675"/>
    <w:rsid w:val="003267CC"/>
    <w:rsid w:val="00357E93"/>
    <w:rsid w:val="003660C3"/>
    <w:rsid w:val="00391217"/>
    <w:rsid w:val="003A106E"/>
    <w:rsid w:val="004255DD"/>
    <w:rsid w:val="00431AED"/>
    <w:rsid w:val="00436409"/>
    <w:rsid w:val="004425D4"/>
    <w:rsid w:val="0044541C"/>
    <w:rsid w:val="00460514"/>
    <w:rsid w:val="00462DDF"/>
    <w:rsid w:val="00495A83"/>
    <w:rsid w:val="004961A7"/>
    <w:rsid w:val="004D7B41"/>
    <w:rsid w:val="004E5367"/>
    <w:rsid w:val="0050747C"/>
    <w:rsid w:val="00547754"/>
    <w:rsid w:val="005B0D18"/>
    <w:rsid w:val="005B5381"/>
    <w:rsid w:val="005C526F"/>
    <w:rsid w:val="005D4730"/>
    <w:rsid w:val="005E3D1B"/>
    <w:rsid w:val="006143B6"/>
    <w:rsid w:val="00614648"/>
    <w:rsid w:val="0062574A"/>
    <w:rsid w:val="0063001B"/>
    <w:rsid w:val="00646651"/>
    <w:rsid w:val="00660B6D"/>
    <w:rsid w:val="006807BC"/>
    <w:rsid w:val="006872FF"/>
    <w:rsid w:val="0069036A"/>
    <w:rsid w:val="006941DF"/>
    <w:rsid w:val="006A6D4E"/>
    <w:rsid w:val="006D6267"/>
    <w:rsid w:val="006E0C73"/>
    <w:rsid w:val="006E78EE"/>
    <w:rsid w:val="007124E9"/>
    <w:rsid w:val="00747158"/>
    <w:rsid w:val="007477C5"/>
    <w:rsid w:val="00777E6A"/>
    <w:rsid w:val="007C16A6"/>
    <w:rsid w:val="007E39BA"/>
    <w:rsid w:val="00802E9C"/>
    <w:rsid w:val="00832912"/>
    <w:rsid w:val="00841340"/>
    <w:rsid w:val="00846FEB"/>
    <w:rsid w:val="008755A1"/>
    <w:rsid w:val="008B5A39"/>
    <w:rsid w:val="008E53DA"/>
    <w:rsid w:val="0092733F"/>
    <w:rsid w:val="009469BD"/>
    <w:rsid w:val="009513FA"/>
    <w:rsid w:val="009709F3"/>
    <w:rsid w:val="009907E2"/>
    <w:rsid w:val="00997C22"/>
    <w:rsid w:val="009A4E42"/>
    <w:rsid w:val="009A6C0B"/>
    <w:rsid w:val="009C1575"/>
    <w:rsid w:val="009D1CEA"/>
    <w:rsid w:val="009E05DF"/>
    <w:rsid w:val="009F0139"/>
    <w:rsid w:val="00A02E48"/>
    <w:rsid w:val="00A34AA3"/>
    <w:rsid w:val="00A43E6F"/>
    <w:rsid w:val="00A57839"/>
    <w:rsid w:val="00A60477"/>
    <w:rsid w:val="00A6355D"/>
    <w:rsid w:val="00A70502"/>
    <w:rsid w:val="00A878F8"/>
    <w:rsid w:val="00A912D8"/>
    <w:rsid w:val="00AA70B4"/>
    <w:rsid w:val="00AA7DE5"/>
    <w:rsid w:val="00AF13CD"/>
    <w:rsid w:val="00AF518A"/>
    <w:rsid w:val="00B07317"/>
    <w:rsid w:val="00B1553F"/>
    <w:rsid w:val="00B16AF1"/>
    <w:rsid w:val="00B3540F"/>
    <w:rsid w:val="00B56008"/>
    <w:rsid w:val="00BA3A0A"/>
    <w:rsid w:val="00BB3ED4"/>
    <w:rsid w:val="00C0042F"/>
    <w:rsid w:val="00C24031"/>
    <w:rsid w:val="00C46032"/>
    <w:rsid w:val="00C77194"/>
    <w:rsid w:val="00C8790A"/>
    <w:rsid w:val="00C939F8"/>
    <w:rsid w:val="00CA78FC"/>
    <w:rsid w:val="00CB3C88"/>
    <w:rsid w:val="00CE1B44"/>
    <w:rsid w:val="00D17015"/>
    <w:rsid w:val="00D22760"/>
    <w:rsid w:val="00D25F8B"/>
    <w:rsid w:val="00D33929"/>
    <w:rsid w:val="00D50657"/>
    <w:rsid w:val="00D6002D"/>
    <w:rsid w:val="00D62CE6"/>
    <w:rsid w:val="00D83AFE"/>
    <w:rsid w:val="00D863B5"/>
    <w:rsid w:val="00DA4F74"/>
    <w:rsid w:val="00DA6750"/>
    <w:rsid w:val="00DB7AF2"/>
    <w:rsid w:val="00E4138C"/>
    <w:rsid w:val="00E41600"/>
    <w:rsid w:val="00E44251"/>
    <w:rsid w:val="00F0793A"/>
    <w:rsid w:val="00F32968"/>
    <w:rsid w:val="00F367F4"/>
    <w:rsid w:val="00F64C34"/>
    <w:rsid w:val="00F83B34"/>
    <w:rsid w:val="00F85545"/>
    <w:rsid w:val="00FE09E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BA669AFB-DEBD-418E-B963-82DABF64C4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E1B44"/>
    <w:pPr>
      <w:spacing w:after="200" w:line="276" w:lineRule="auto"/>
    </w:pPr>
  </w:style>
  <w:style w:type="paragraph" w:styleId="Ttulo1">
    <w:name w:val="heading 1"/>
    <w:basedOn w:val="Normal"/>
    <w:next w:val="Normal"/>
    <w:link w:val="Ttulo1Car"/>
    <w:rsid w:val="0092733F"/>
    <w:pPr>
      <w:keepNext/>
      <w:keepLines/>
      <w:pBdr>
        <w:top w:val="nil"/>
        <w:left w:val="nil"/>
        <w:bottom w:val="nil"/>
        <w:right w:val="nil"/>
        <w:between w:val="nil"/>
      </w:pBdr>
      <w:spacing w:before="400" w:after="120"/>
      <w:outlineLvl w:val="0"/>
    </w:pPr>
    <w:rPr>
      <w:rFonts w:ascii="Arial" w:eastAsia="Arial" w:hAnsi="Arial" w:cs="Arial"/>
      <w:color w:val="000000"/>
      <w:sz w:val="40"/>
      <w:szCs w:val="40"/>
      <w:lang w:val="es" w:eastAsia="es-ES"/>
    </w:rPr>
  </w:style>
  <w:style w:type="paragraph" w:styleId="Ttulo2">
    <w:name w:val="heading 2"/>
    <w:basedOn w:val="Normal"/>
    <w:next w:val="Normal"/>
    <w:link w:val="Ttulo2Car"/>
    <w:rsid w:val="0092733F"/>
    <w:pPr>
      <w:keepNext/>
      <w:keepLines/>
      <w:pBdr>
        <w:top w:val="nil"/>
        <w:left w:val="nil"/>
        <w:bottom w:val="nil"/>
        <w:right w:val="nil"/>
        <w:between w:val="nil"/>
      </w:pBdr>
      <w:spacing w:before="360" w:after="120"/>
      <w:outlineLvl w:val="1"/>
    </w:pPr>
    <w:rPr>
      <w:rFonts w:ascii="Arial" w:eastAsia="Arial" w:hAnsi="Arial" w:cs="Arial"/>
      <w:color w:val="000000"/>
      <w:sz w:val="32"/>
      <w:szCs w:val="32"/>
      <w:lang w:val="es" w:eastAsia="es-ES"/>
    </w:rPr>
  </w:style>
  <w:style w:type="paragraph" w:styleId="Ttulo3">
    <w:name w:val="heading 3"/>
    <w:basedOn w:val="Normal"/>
    <w:next w:val="Normal"/>
    <w:link w:val="Ttulo3Car"/>
    <w:rsid w:val="0092733F"/>
    <w:pPr>
      <w:keepNext/>
      <w:keepLines/>
      <w:pBdr>
        <w:top w:val="nil"/>
        <w:left w:val="nil"/>
        <w:bottom w:val="nil"/>
        <w:right w:val="nil"/>
        <w:between w:val="nil"/>
      </w:pBdr>
      <w:spacing w:before="320" w:after="80"/>
      <w:outlineLvl w:val="2"/>
    </w:pPr>
    <w:rPr>
      <w:rFonts w:ascii="Arial" w:eastAsia="Arial" w:hAnsi="Arial" w:cs="Arial"/>
      <w:color w:val="434343"/>
      <w:sz w:val="28"/>
      <w:szCs w:val="28"/>
      <w:lang w:val="es" w:eastAsia="es-ES"/>
    </w:rPr>
  </w:style>
  <w:style w:type="paragraph" w:styleId="Ttulo4">
    <w:name w:val="heading 4"/>
    <w:basedOn w:val="Normal"/>
    <w:next w:val="Normal"/>
    <w:link w:val="Ttulo4Car"/>
    <w:rsid w:val="0092733F"/>
    <w:pPr>
      <w:keepNext/>
      <w:keepLines/>
      <w:pBdr>
        <w:top w:val="nil"/>
        <w:left w:val="nil"/>
        <w:bottom w:val="nil"/>
        <w:right w:val="nil"/>
        <w:between w:val="nil"/>
      </w:pBdr>
      <w:spacing w:before="280" w:after="80"/>
      <w:outlineLvl w:val="3"/>
    </w:pPr>
    <w:rPr>
      <w:rFonts w:ascii="Arial" w:eastAsia="Arial" w:hAnsi="Arial" w:cs="Arial"/>
      <w:color w:val="666666"/>
      <w:sz w:val="24"/>
      <w:szCs w:val="24"/>
      <w:lang w:val="es" w:eastAsia="es-ES"/>
    </w:rPr>
  </w:style>
  <w:style w:type="paragraph" w:styleId="Ttulo5">
    <w:name w:val="heading 5"/>
    <w:basedOn w:val="Normal"/>
    <w:next w:val="Normal"/>
    <w:link w:val="Ttulo5Car"/>
    <w:rsid w:val="0092733F"/>
    <w:pPr>
      <w:keepNext/>
      <w:keepLines/>
      <w:pBdr>
        <w:top w:val="nil"/>
        <w:left w:val="nil"/>
        <w:bottom w:val="nil"/>
        <w:right w:val="nil"/>
        <w:between w:val="nil"/>
      </w:pBdr>
      <w:spacing w:before="240" w:after="80"/>
      <w:outlineLvl w:val="4"/>
    </w:pPr>
    <w:rPr>
      <w:rFonts w:ascii="Arial" w:eastAsia="Arial" w:hAnsi="Arial" w:cs="Arial"/>
      <w:color w:val="666666"/>
      <w:lang w:val="es" w:eastAsia="es-ES"/>
    </w:rPr>
  </w:style>
  <w:style w:type="paragraph" w:styleId="Ttulo6">
    <w:name w:val="heading 6"/>
    <w:basedOn w:val="Normal"/>
    <w:next w:val="Normal"/>
    <w:link w:val="Ttulo6Car"/>
    <w:rsid w:val="0092733F"/>
    <w:pPr>
      <w:keepNext/>
      <w:keepLines/>
      <w:pBdr>
        <w:top w:val="nil"/>
        <w:left w:val="nil"/>
        <w:bottom w:val="nil"/>
        <w:right w:val="nil"/>
        <w:between w:val="nil"/>
      </w:pBdr>
      <w:spacing w:before="240" w:after="80"/>
      <w:outlineLvl w:val="5"/>
    </w:pPr>
    <w:rPr>
      <w:rFonts w:ascii="Arial" w:eastAsia="Arial" w:hAnsi="Arial" w:cs="Arial"/>
      <w:i/>
      <w:color w:val="666666"/>
      <w:lang w:val="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CE1B4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E1B44"/>
  </w:style>
  <w:style w:type="paragraph" w:styleId="Piedepgina">
    <w:name w:val="footer"/>
    <w:basedOn w:val="Normal"/>
    <w:link w:val="PiedepginaCar"/>
    <w:uiPriority w:val="99"/>
    <w:unhideWhenUsed/>
    <w:rsid w:val="00CE1B4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E1B44"/>
  </w:style>
  <w:style w:type="paragraph" w:styleId="Prrafodelista">
    <w:name w:val="List Paragraph"/>
    <w:basedOn w:val="Normal"/>
    <w:link w:val="PrrafodelistaCar"/>
    <w:uiPriority w:val="34"/>
    <w:qFormat/>
    <w:rsid w:val="00CE1B44"/>
    <w:pPr>
      <w:ind w:left="720"/>
      <w:contextualSpacing/>
    </w:pPr>
  </w:style>
  <w:style w:type="table" w:styleId="Tablaconcuadrcula">
    <w:name w:val="Table Grid"/>
    <w:basedOn w:val="Tablanormal"/>
    <w:uiPriority w:val="59"/>
    <w:rsid w:val="00CE1B4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link w:val="Prrafodelista"/>
    <w:uiPriority w:val="34"/>
    <w:locked/>
    <w:rsid w:val="00CE1B44"/>
  </w:style>
  <w:style w:type="table" w:styleId="Tabladecuadrcula4-nfasis4">
    <w:name w:val="Grid Table 4 Accent 4"/>
    <w:basedOn w:val="Tablanormal"/>
    <w:uiPriority w:val="49"/>
    <w:rsid w:val="00CE1B44"/>
    <w:pPr>
      <w:spacing w:after="0" w:line="240" w:lineRule="auto"/>
    </w:pPr>
    <w:tblPr>
      <w:tblStyleRowBandSize w:val="1"/>
      <w:tblStyleColBandSize w:val="1"/>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insideV w:val="single" w:sz="4" w:space="0" w:color="FFD966" w:themeColor="accent4" w:themeTint="99"/>
      </w:tblBorders>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insideV w:val="nil"/>
        </w:tcBorders>
        <w:shd w:val="clear" w:color="auto" w:fill="FFC000" w:themeFill="accent4"/>
      </w:tcPr>
    </w:tblStylePr>
    <w:tblStylePr w:type="lastRow">
      <w:rPr>
        <w:b/>
        <w:bCs/>
      </w:rPr>
      <w:tblPr/>
      <w:tcPr>
        <w:tcBorders>
          <w:top w:val="double" w:sz="4" w:space="0" w:color="FFC000" w:themeColor="accent4"/>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Tabladecuadrcula4-nfasis6">
    <w:name w:val="Grid Table 4 Accent 6"/>
    <w:basedOn w:val="Tablanormal"/>
    <w:uiPriority w:val="49"/>
    <w:rsid w:val="00CE1B44"/>
    <w:pPr>
      <w:spacing w:after="0" w:line="240" w:lineRule="auto"/>
    </w:pPr>
    <w:tblPr>
      <w:tblStyleRowBandSize w:val="1"/>
      <w:tblStyleColBandSize w:val="1"/>
      <w:tblBorders>
        <w:top w:val="single" w:sz="4" w:space="0" w:color="A8D08D" w:themeColor="accent6" w:themeTint="99"/>
        <w:left w:val="single" w:sz="4" w:space="0" w:color="A8D08D" w:themeColor="accent6" w:themeTint="99"/>
        <w:bottom w:val="single" w:sz="4" w:space="0" w:color="A8D08D" w:themeColor="accent6" w:themeTint="99"/>
        <w:right w:val="single" w:sz="4" w:space="0" w:color="A8D08D" w:themeColor="accent6" w:themeTint="99"/>
        <w:insideH w:val="single" w:sz="4" w:space="0" w:color="A8D08D" w:themeColor="accent6" w:themeTint="99"/>
        <w:insideV w:val="single" w:sz="4" w:space="0" w:color="A8D08D" w:themeColor="accent6" w:themeTint="99"/>
      </w:tblBorders>
    </w:tblPr>
    <w:tblStylePr w:type="firstRow">
      <w:rPr>
        <w:b/>
        <w:bCs/>
        <w:color w:val="FFFFFF" w:themeColor="background1"/>
      </w:rPr>
      <w:tblPr/>
      <w:tcPr>
        <w:tcBorders>
          <w:top w:val="single" w:sz="4" w:space="0" w:color="70AD47" w:themeColor="accent6"/>
          <w:left w:val="single" w:sz="4" w:space="0" w:color="70AD47" w:themeColor="accent6"/>
          <w:bottom w:val="single" w:sz="4" w:space="0" w:color="70AD47" w:themeColor="accent6"/>
          <w:right w:val="single" w:sz="4" w:space="0" w:color="70AD47" w:themeColor="accent6"/>
          <w:insideH w:val="nil"/>
          <w:insideV w:val="nil"/>
        </w:tcBorders>
        <w:shd w:val="clear" w:color="auto" w:fill="70AD47" w:themeFill="accent6"/>
      </w:tcPr>
    </w:tblStylePr>
    <w:tblStylePr w:type="lastRow">
      <w:rPr>
        <w:b/>
        <w:bCs/>
      </w:rPr>
      <w:tblPr/>
      <w:tcPr>
        <w:tcBorders>
          <w:top w:val="double" w:sz="4" w:space="0" w:color="70AD47" w:themeColor="accent6"/>
        </w:tcBorders>
      </w:tcPr>
    </w:tblStylePr>
    <w:tblStylePr w:type="firstCol">
      <w:rPr>
        <w:b/>
        <w:bCs/>
      </w:rPr>
    </w:tblStylePr>
    <w:tblStylePr w:type="lastCol">
      <w:rPr>
        <w:b/>
        <w:bCs/>
      </w:rPr>
    </w:tblStylePr>
    <w:tblStylePr w:type="band1Vert">
      <w:tblPr/>
      <w:tcPr>
        <w:shd w:val="clear" w:color="auto" w:fill="E2EFD9" w:themeFill="accent6" w:themeFillTint="33"/>
      </w:tcPr>
    </w:tblStylePr>
    <w:tblStylePr w:type="band1Horz">
      <w:tblPr/>
      <w:tcPr>
        <w:shd w:val="clear" w:color="auto" w:fill="E2EFD9" w:themeFill="accent6" w:themeFillTint="33"/>
      </w:tcPr>
    </w:tblStylePr>
  </w:style>
  <w:style w:type="character" w:customStyle="1" w:styleId="Ttulo1Car">
    <w:name w:val="Título 1 Car"/>
    <w:basedOn w:val="Fuentedeprrafopredeter"/>
    <w:link w:val="Ttulo1"/>
    <w:rsid w:val="0092733F"/>
    <w:rPr>
      <w:rFonts w:ascii="Arial" w:eastAsia="Arial" w:hAnsi="Arial" w:cs="Arial"/>
      <w:color w:val="000000"/>
      <w:sz w:val="40"/>
      <w:szCs w:val="40"/>
      <w:lang w:val="es" w:eastAsia="es-ES"/>
    </w:rPr>
  </w:style>
  <w:style w:type="character" w:customStyle="1" w:styleId="Ttulo2Car">
    <w:name w:val="Título 2 Car"/>
    <w:basedOn w:val="Fuentedeprrafopredeter"/>
    <w:link w:val="Ttulo2"/>
    <w:rsid w:val="0092733F"/>
    <w:rPr>
      <w:rFonts w:ascii="Arial" w:eastAsia="Arial" w:hAnsi="Arial" w:cs="Arial"/>
      <w:color w:val="000000"/>
      <w:sz w:val="32"/>
      <w:szCs w:val="32"/>
      <w:lang w:val="es" w:eastAsia="es-ES"/>
    </w:rPr>
  </w:style>
  <w:style w:type="character" w:customStyle="1" w:styleId="Ttulo3Car">
    <w:name w:val="Título 3 Car"/>
    <w:basedOn w:val="Fuentedeprrafopredeter"/>
    <w:link w:val="Ttulo3"/>
    <w:rsid w:val="0092733F"/>
    <w:rPr>
      <w:rFonts w:ascii="Arial" w:eastAsia="Arial" w:hAnsi="Arial" w:cs="Arial"/>
      <w:color w:val="434343"/>
      <w:sz w:val="28"/>
      <w:szCs w:val="28"/>
      <w:lang w:val="es" w:eastAsia="es-ES"/>
    </w:rPr>
  </w:style>
  <w:style w:type="character" w:customStyle="1" w:styleId="Ttulo4Car">
    <w:name w:val="Título 4 Car"/>
    <w:basedOn w:val="Fuentedeprrafopredeter"/>
    <w:link w:val="Ttulo4"/>
    <w:rsid w:val="0092733F"/>
    <w:rPr>
      <w:rFonts w:ascii="Arial" w:eastAsia="Arial" w:hAnsi="Arial" w:cs="Arial"/>
      <w:color w:val="666666"/>
      <w:sz w:val="24"/>
      <w:szCs w:val="24"/>
      <w:lang w:val="es" w:eastAsia="es-ES"/>
    </w:rPr>
  </w:style>
  <w:style w:type="character" w:customStyle="1" w:styleId="Ttulo5Car">
    <w:name w:val="Título 5 Car"/>
    <w:basedOn w:val="Fuentedeprrafopredeter"/>
    <w:link w:val="Ttulo5"/>
    <w:rsid w:val="0092733F"/>
    <w:rPr>
      <w:rFonts w:ascii="Arial" w:eastAsia="Arial" w:hAnsi="Arial" w:cs="Arial"/>
      <w:color w:val="666666"/>
      <w:lang w:val="es" w:eastAsia="es-ES"/>
    </w:rPr>
  </w:style>
  <w:style w:type="character" w:customStyle="1" w:styleId="Ttulo6Car">
    <w:name w:val="Título 6 Car"/>
    <w:basedOn w:val="Fuentedeprrafopredeter"/>
    <w:link w:val="Ttulo6"/>
    <w:rsid w:val="0092733F"/>
    <w:rPr>
      <w:rFonts w:ascii="Arial" w:eastAsia="Arial" w:hAnsi="Arial" w:cs="Arial"/>
      <w:i/>
      <w:color w:val="666666"/>
      <w:lang w:val="es" w:eastAsia="es-ES"/>
    </w:rPr>
  </w:style>
  <w:style w:type="table" w:customStyle="1" w:styleId="TableNormal">
    <w:name w:val="Table Normal"/>
    <w:rsid w:val="0092733F"/>
    <w:pPr>
      <w:pBdr>
        <w:top w:val="nil"/>
        <w:left w:val="nil"/>
        <w:bottom w:val="nil"/>
        <w:right w:val="nil"/>
        <w:between w:val="nil"/>
      </w:pBdr>
      <w:spacing w:after="0" w:line="276" w:lineRule="auto"/>
    </w:pPr>
    <w:rPr>
      <w:rFonts w:ascii="Arial" w:eastAsia="Arial" w:hAnsi="Arial" w:cs="Arial"/>
      <w:color w:val="000000"/>
      <w:lang w:val="es" w:eastAsia="es-ES"/>
    </w:rPr>
    <w:tblPr>
      <w:tblCellMar>
        <w:top w:w="0" w:type="dxa"/>
        <w:left w:w="0" w:type="dxa"/>
        <w:bottom w:w="0" w:type="dxa"/>
        <w:right w:w="0" w:type="dxa"/>
      </w:tblCellMar>
    </w:tblPr>
  </w:style>
  <w:style w:type="paragraph" w:styleId="Ttulo">
    <w:name w:val="Title"/>
    <w:basedOn w:val="Normal"/>
    <w:next w:val="Normal"/>
    <w:link w:val="TtuloCar"/>
    <w:rsid w:val="0092733F"/>
    <w:pPr>
      <w:keepNext/>
      <w:keepLines/>
      <w:pBdr>
        <w:top w:val="nil"/>
        <w:left w:val="nil"/>
        <w:bottom w:val="nil"/>
        <w:right w:val="nil"/>
        <w:between w:val="nil"/>
      </w:pBdr>
      <w:spacing w:after="60"/>
    </w:pPr>
    <w:rPr>
      <w:rFonts w:ascii="Arial" w:eastAsia="Arial" w:hAnsi="Arial" w:cs="Arial"/>
      <w:color w:val="000000"/>
      <w:sz w:val="52"/>
      <w:szCs w:val="52"/>
      <w:lang w:val="es" w:eastAsia="es-ES"/>
    </w:rPr>
  </w:style>
  <w:style w:type="character" w:customStyle="1" w:styleId="TtuloCar">
    <w:name w:val="Título Car"/>
    <w:basedOn w:val="Fuentedeprrafopredeter"/>
    <w:link w:val="Ttulo"/>
    <w:rsid w:val="0092733F"/>
    <w:rPr>
      <w:rFonts w:ascii="Arial" w:eastAsia="Arial" w:hAnsi="Arial" w:cs="Arial"/>
      <w:color w:val="000000"/>
      <w:sz w:val="52"/>
      <w:szCs w:val="52"/>
      <w:lang w:val="es" w:eastAsia="es-ES"/>
    </w:rPr>
  </w:style>
  <w:style w:type="paragraph" w:styleId="Subttulo">
    <w:name w:val="Subtitle"/>
    <w:basedOn w:val="Normal"/>
    <w:next w:val="Normal"/>
    <w:link w:val="SubttuloCar"/>
    <w:rsid w:val="0092733F"/>
    <w:pPr>
      <w:keepNext/>
      <w:keepLines/>
      <w:pBdr>
        <w:top w:val="nil"/>
        <w:left w:val="nil"/>
        <w:bottom w:val="nil"/>
        <w:right w:val="nil"/>
        <w:between w:val="nil"/>
      </w:pBdr>
      <w:spacing w:after="320"/>
    </w:pPr>
    <w:rPr>
      <w:rFonts w:ascii="Arial" w:eastAsia="Arial" w:hAnsi="Arial" w:cs="Arial"/>
      <w:color w:val="666666"/>
      <w:sz w:val="30"/>
      <w:szCs w:val="30"/>
      <w:lang w:val="es" w:eastAsia="es-ES"/>
    </w:rPr>
  </w:style>
  <w:style w:type="character" w:customStyle="1" w:styleId="SubttuloCar">
    <w:name w:val="Subtítulo Car"/>
    <w:basedOn w:val="Fuentedeprrafopredeter"/>
    <w:link w:val="Subttulo"/>
    <w:rsid w:val="0092733F"/>
    <w:rPr>
      <w:rFonts w:ascii="Arial" w:eastAsia="Arial" w:hAnsi="Arial" w:cs="Arial"/>
      <w:color w:val="666666"/>
      <w:sz w:val="30"/>
      <w:szCs w:val="30"/>
      <w:lang w:val="es" w:eastAsia="es-ES"/>
    </w:rPr>
  </w:style>
  <w:style w:type="character" w:styleId="Refdecomentario">
    <w:name w:val="annotation reference"/>
    <w:basedOn w:val="Fuentedeprrafopredeter"/>
    <w:uiPriority w:val="99"/>
    <w:semiHidden/>
    <w:unhideWhenUsed/>
    <w:rsid w:val="0092733F"/>
    <w:rPr>
      <w:sz w:val="16"/>
      <w:szCs w:val="16"/>
    </w:rPr>
  </w:style>
  <w:style w:type="paragraph" w:styleId="Textocomentario">
    <w:name w:val="annotation text"/>
    <w:basedOn w:val="Normal"/>
    <w:link w:val="TextocomentarioCar"/>
    <w:uiPriority w:val="99"/>
    <w:semiHidden/>
    <w:unhideWhenUsed/>
    <w:rsid w:val="0092733F"/>
    <w:pPr>
      <w:pBdr>
        <w:top w:val="nil"/>
        <w:left w:val="nil"/>
        <w:bottom w:val="nil"/>
        <w:right w:val="nil"/>
        <w:between w:val="nil"/>
      </w:pBdr>
      <w:spacing w:after="0" w:line="240" w:lineRule="auto"/>
    </w:pPr>
    <w:rPr>
      <w:rFonts w:ascii="Arial" w:eastAsia="Arial" w:hAnsi="Arial" w:cs="Arial"/>
      <w:color w:val="000000"/>
      <w:sz w:val="20"/>
      <w:szCs w:val="20"/>
      <w:lang w:val="es" w:eastAsia="es-ES"/>
    </w:rPr>
  </w:style>
  <w:style w:type="character" w:customStyle="1" w:styleId="TextocomentarioCar">
    <w:name w:val="Texto comentario Car"/>
    <w:basedOn w:val="Fuentedeprrafopredeter"/>
    <w:link w:val="Textocomentario"/>
    <w:uiPriority w:val="99"/>
    <w:semiHidden/>
    <w:rsid w:val="0092733F"/>
    <w:rPr>
      <w:rFonts w:ascii="Arial" w:eastAsia="Arial" w:hAnsi="Arial" w:cs="Arial"/>
      <w:color w:val="000000"/>
      <w:sz w:val="20"/>
      <w:szCs w:val="20"/>
      <w:lang w:val="es" w:eastAsia="es-ES"/>
    </w:rPr>
  </w:style>
  <w:style w:type="paragraph" w:styleId="Asuntodelcomentario">
    <w:name w:val="annotation subject"/>
    <w:basedOn w:val="Textocomentario"/>
    <w:next w:val="Textocomentario"/>
    <w:link w:val="AsuntodelcomentarioCar"/>
    <w:uiPriority w:val="99"/>
    <w:semiHidden/>
    <w:unhideWhenUsed/>
    <w:rsid w:val="0092733F"/>
    <w:rPr>
      <w:b/>
      <w:bCs/>
    </w:rPr>
  </w:style>
  <w:style w:type="character" w:customStyle="1" w:styleId="AsuntodelcomentarioCar">
    <w:name w:val="Asunto del comentario Car"/>
    <w:basedOn w:val="TextocomentarioCar"/>
    <w:link w:val="Asuntodelcomentario"/>
    <w:uiPriority w:val="99"/>
    <w:semiHidden/>
    <w:rsid w:val="0092733F"/>
    <w:rPr>
      <w:rFonts w:ascii="Arial" w:eastAsia="Arial" w:hAnsi="Arial" w:cs="Arial"/>
      <w:b/>
      <w:bCs/>
      <w:color w:val="000000"/>
      <w:sz w:val="20"/>
      <w:szCs w:val="20"/>
      <w:lang w:val="es" w:eastAsia="es-ES"/>
    </w:rPr>
  </w:style>
  <w:style w:type="paragraph" w:styleId="Textodeglobo">
    <w:name w:val="Balloon Text"/>
    <w:basedOn w:val="Normal"/>
    <w:link w:val="TextodegloboCar"/>
    <w:uiPriority w:val="99"/>
    <w:semiHidden/>
    <w:unhideWhenUsed/>
    <w:rsid w:val="0092733F"/>
    <w:pPr>
      <w:pBdr>
        <w:top w:val="nil"/>
        <w:left w:val="nil"/>
        <w:bottom w:val="nil"/>
        <w:right w:val="nil"/>
        <w:between w:val="nil"/>
      </w:pBdr>
      <w:spacing w:after="0" w:line="240" w:lineRule="auto"/>
    </w:pPr>
    <w:rPr>
      <w:rFonts w:ascii="Tahoma" w:eastAsia="Arial" w:hAnsi="Tahoma" w:cs="Tahoma"/>
      <w:color w:val="000000"/>
      <w:sz w:val="16"/>
      <w:szCs w:val="16"/>
      <w:lang w:val="es" w:eastAsia="es-ES"/>
    </w:rPr>
  </w:style>
  <w:style w:type="character" w:customStyle="1" w:styleId="TextodegloboCar">
    <w:name w:val="Texto de globo Car"/>
    <w:basedOn w:val="Fuentedeprrafopredeter"/>
    <w:link w:val="Textodeglobo"/>
    <w:uiPriority w:val="99"/>
    <w:semiHidden/>
    <w:rsid w:val="0092733F"/>
    <w:rPr>
      <w:rFonts w:ascii="Tahoma" w:eastAsia="Arial" w:hAnsi="Tahoma" w:cs="Tahoma"/>
      <w:color w:val="000000"/>
      <w:sz w:val="16"/>
      <w:szCs w:val="16"/>
      <w:lang w:val="es" w:eastAsia="es-ES"/>
    </w:rPr>
  </w:style>
  <w:style w:type="character" w:styleId="Hipervnculo">
    <w:name w:val="Hyperlink"/>
    <w:basedOn w:val="Fuentedeprrafopredeter"/>
    <w:uiPriority w:val="99"/>
    <w:unhideWhenUsed/>
    <w:rsid w:val="0092733F"/>
    <w:rPr>
      <w:color w:val="0563C1" w:themeColor="hyperlink"/>
      <w:u w:val="single"/>
    </w:rPr>
  </w:style>
  <w:style w:type="paragraph" w:styleId="Textonotapie">
    <w:name w:val="footnote text"/>
    <w:basedOn w:val="Normal"/>
    <w:link w:val="TextonotapieCar"/>
    <w:uiPriority w:val="99"/>
    <w:semiHidden/>
    <w:unhideWhenUsed/>
    <w:rsid w:val="0092733F"/>
    <w:pPr>
      <w:pBdr>
        <w:top w:val="nil"/>
        <w:left w:val="nil"/>
        <w:bottom w:val="nil"/>
        <w:right w:val="nil"/>
        <w:between w:val="nil"/>
      </w:pBdr>
      <w:spacing w:after="0" w:line="240" w:lineRule="auto"/>
    </w:pPr>
    <w:rPr>
      <w:rFonts w:ascii="Arial" w:eastAsia="Arial" w:hAnsi="Arial" w:cs="Arial"/>
      <w:color w:val="000000"/>
      <w:sz w:val="20"/>
      <w:szCs w:val="20"/>
      <w:lang w:val="es" w:eastAsia="es-ES"/>
    </w:rPr>
  </w:style>
  <w:style w:type="character" w:customStyle="1" w:styleId="TextonotapieCar">
    <w:name w:val="Texto nota pie Car"/>
    <w:basedOn w:val="Fuentedeprrafopredeter"/>
    <w:link w:val="Textonotapie"/>
    <w:uiPriority w:val="99"/>
    <w:semiHidden/>
    <w:rsid w:val="0092733F"/>
    <w:rPr>
      <w:rFonts w:ascii="Arial" w:eastAsia="Arial" w:hAnsi="Arial" w:cs="Arial"/>
      <w:color w:val="000000"/>
      <w:sz w:val="20"/>
      <w:szCs w:val="20"/>
      <w:lang w:val="es" w:eastAsia="es-ES"/>
    </w:rPr>
  </w:style>
  <w:style w:type="character" w:styleId="Refdenotaalpie">
    <w:name w:val="footnote reference"/>
    <w:basedOn w:val="Fuentedeprrafopredeter"/>
    <w:uiPriority w:val="99"/>
    <w:semiHidden/>
    <w:unhideWhenUsed/>
    <w:rsid w:val="0092733F"/>
    <w:rPr>
      <w:vertAlign w:val="superscript"/>
    </w:rPr>
  </w:style>
  <w:style w:type="character" w:styleId="Hipervnculovisitado">
    <w:name w:val="FollowedHyperlink"/>
    <w:basedOn w:val="Fuentedeprrafopredeter"/>
    <w:uiPriority w:val="99"/>
    <w:semiHidden/>
    <w:unhideWhenUsed/>
    <w:rsid w:val="0092733F"/>
    <w:rPr>
      <w:color w:val="954F72" w:themeColor="followedHyperlink"/>
      <w:u w:val="single"/>
    </w:rPr>
  </w:style>
  <w:style w:type="character" w:customStyle="1" w:styleId="UnresolvedMention">
    <w:name w:val="Unresolved Mention"/>
    <w:basedOn w:val="Fuentedeprrafopredeter"/>
    <w:uiPriority w:val="99"/>
    <w:semiHidden/>
    <w:unhideWhenUsed/>
    <w:rsid w:val="0092733F"/>
    <w:rPr>
      <w:color w:val="808080"/>
      <w:shd w:val="clear" w:color="auto" w:fill="E6E6E6"/>
    </w:rPr>
  </w:style>
  <w:style w:type="character" w:styleId="Textoennegrita">
    <w:name w:val="Strong"/>
    <w:uiPriority w:val="22"/>
    <w:qFormat/>
    <w:rsid w:val="0092733F"/>
    <w:rPr>
      <w:b/>
      <w:bCs/>
    </w:rPr>
  </w:style>
  <w:style w:type="paragraph" w:customStyle="1" w:styleId="xmsonormal">
    <w:name w:val="x_msonormal"/>
    <w:basedOn w:val="Normal"/>
    <w:rsid w:val="009273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styleId="NormalWeb">
    <w:name w:val="Normal (Web)"/>
    <w:basedOn w:val="Normal"/>
    <w:uiPriority w:val="99"/>
    <w:unhideWhenUsed/>
    <w:rsid w:val="0092733F"/>
    <w:pPr>
      <w:spacing w:before="100" w:beforeAutospacing="1" w:after="100" w:afterAutospacing="1" w:line="240" w:lineRule="auto"/>
    </w:pPr>
    <w:rPr>
      <w:rFonts w:ascii="Times New Roman" w:eastAsia="Times New Roman" w:hAnsi="Times New Roman" w:cs="Times New Roman"/>
      <w:sz w:val="24"/>
      <w:szCs w:val="24"/>
      <w:lang w:eastAsia="es-CO"/>
    </w:rPr>
  </w:style>
  <w:style w:type="paragraph" w:customStyle="1" w:styleId="Default">
    <w:name w:val="Default"/>
    <w:rsid w:val="0092733F"/>
    <w:pPr>
      <w:autoSpaceDE w:val="0"/>
      <w:autoSpaceDN w:val="0"/>
      <w:adjustRightInd w:val="0"/>
      <w:spacing w:after="0" w:line="240" w:lineRule="auto"/>
    </w:pPr>
    <w:rPr>
      <w:rFonts w:ascii="Calibri" w:eastAsia="Arial" w:hAnsi="Calibri" w:cs="Calibri"/>
      <w:color w:val="000000"/>
      <w:sz w:val="24"/>
      <w:szCs w:val="24"/>
      <w:lang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09597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image" Target="media/image6.png"/><Relationship Id="rId18" Type="http://schemas.microsoft.com/office/2007/relationships/diagramDrawing" Target="diagrams/drawing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diagramColors" Target="diagrams/colors1.xml"/><Relationship Id="rId2" Type="http://schemas.openxmlformats.org/officeDocument/2006/relationships/numbering" Target="numbering.xml"/><Relationship Id="rId16" Type="http://schemas.openxmlformats.org/officeDocument/2006/relationships/diagramQuickStyle" Target="diagrams/quickStyle1.xm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diagramLayout" Target="diagrams/layout1.xml"/><Relationship Id="rId10" Type="http://schemas.openxmlformats.org/officeDocument/2006/relationships/image" Target="media/image3.jp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diagramData" Target="diagrams/data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footnotes.xml.rels><?xml version="1.0" encoding="UTF-8" standalone="yes"?>
<Relationships xmlns="http://schemas.openxmlformats.org/package/2006/relationships"><Relationship Id="rId3" Type="http://schemas.openxmlformats.org/officeDocument/2006/relationships/hyperlink" Target="http://www.scielo.org.co/cgi-bin/wxis.exe/iah/?IsisScript=iah/iah.xis&amp;base=article%5Edlibrary&amp;format=iso.pft&amp;lang=i&amp;nextAction=lnk&amp;indexSearch=AU&amp;exprSearch=MENDEZ,+FABIAN" TargetMode="External"/><Relationship Id="rId2" Type="http://schemas.openxmlformats.org/officeDocument/2006/relationships/hyperlink" Target="http://www.scielo.org.co/cgi-bin/wxis.exe/iah/?IsisScript=iah/iah.xis&amp;base=article%5Edlibrary&amp;format=iso.pft&amp;lang=i&amp;nextAction=lnk&amp;indexSearch=AU&amp;exprSearch=PRADILLA,+ALBERTO" TargetMode="External"/><Relationship Id="rId1" Type="http://schemas.openxmlformats.org/officeDocument/2006/relationships/hyperlink" Target="http://www.scielo.org.co/cgi-bin/wxis.exe/iah/?IsisScript=iah/iah.xis&amp;base=article%5Edlibrary&amp;format=iso.pft&amp;lang=i&amp;nextAction=lnk&amp;indexSearch=AU&amp;exprSearch=OCAMPO,+CARMEN+ELISA" TargetMode="External"/><Relationship Id="rId5" Type="http://schemas.openxmlformats.org/officeDocument/2006/relationships/hyperlink" Target="https://www.sostenibilidad.com/desarrollo-sostenible/en-que-consiste-la-economia-circular/" TargetMode="External"/><Relationship Id="rId4" Type="http://schemas.openxmlformats.org/officeDocument/2006/relationships/hyperlink" Target="https://www.elheraldo.co/economia/colombia-pierde-2-billones-anuales-por-no-reciclar-desechos-plasticos-640305"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diagrams/colors1.xml><?xml version="1.0" encoding="utf-8"?>
<dgm:colorsDef xmlns:dgm="http://schemas.openxmlformats.org/drawingml/2006/diagram" xmlns:a="http://schemas.openxmlformats.org/drawingml/2006/main" uniqueId="urn:microsoft.com/office/officeart/2005/8/colors/colorful4">
  <dgm:title val=""/>
  <dgm:desc val=""/>
  <dgm:catLst>
    <dgm:cat type="colorful" pri="10400"/>
  </dgm:catLst>
  <dgm:styleLbl name="node0">
    <dgm:fillClrLst meth="repeat">
      <a:schemeClr val="accent3"/>
    </dgm:fillClrLst>
    <dgm:linClrLst meth="repeat">
      <a:schemeClr val="lt1"/>
    </dgm:linClrLst>
    <dgm:effectClrLst/>
    <dgm:txLinClrLst/>
    <dgm:txFillClrLst/>
    <dgm:txEffectClrLst/>
  </dgm:styleLbl>
  <dgm:styleLbl name="node1">
    <dgm:fillClrLst>
      <a:schemeClr val="accent4"/>
      <a:schemeClr val="accent5"/>
    </dgm:fillClrLst>
    <dgm:linClrLst meth="repeat">
      <a:schemeClr val="lt1"/>
    </dgm:linClrLst>
    <dgm:effectClrLst/>
    <dgm:txLinClrLst/>
    <dgm:txFillClrLst/>
    <dgm:txEffectClrLst/>
  </dgm:styleLbl>
  <dgm:styleLbl name="alignNode1">
    <dgm:fillClrLst>
      <a:schemeClr val="accent4"/>
      <a:schemeClr val="accent5"/>
    </dgm:fillClrLst>
    <dgm:linClrLst>
      <a:schemeClr val="accent4"/>
      <a:schemeClr val="accent5"/>
    </dgm:linClrLst>
    <dgm:effectClrLst/>
    <dgm:txLinClrLst/>
    <dgm:txFillClrLst/>
    <dgm:txEffectClrLst/>
  </dgm:styleLbl>
  <dgm:styleLbl name="lnNode1">
    <dgm:fillClrLst>
      <a:schemeClr val="accent4"/>
      <a:schemeClr val="accent5"/>
    </dgm:fillClrLst>
    <dgm:linClrLst meth="repeat">
      <a:schemeClr val="lt1"/>
    </dgm:linClrLst>
    <dgm:effectClrLst/>
    <dgm:txLinClrLst/>
    <dgm:txFillClrLst/>
    <dgm:txEffectClrLst/>
  </dgm:styleLbl>
  <dgm:styleLbl name="vennNode1">
    <dgm:fillClrLst>
      <a:schemeClr val="accent4">
        <a:alpha val="50000"/>
      </a:schemeClr>
      <a:schemeClr val="accent5">
        <a:alpha val="50000"/>
      </a:schemeClr>
    </dgm:fillClrLst>
    <dgm:linClrLst meth="repeat">
      <a:schemeClr val="lt1"/>
    </dgm:linClrLst>
    <dgm:effectClrLst/>
    <dgm:txLinClrLst/>
    <dgm:txFillClrLst/>
    <dgm:txEffectClrLst/>
  </dgm:styleLbl>
  <dgm:styleLbl name="node2">
    <dgm:fillClrLst>
      <a:schemeClr val="accent5"/>
    </dgm:fillClrLst>
    <dgm:linClrLst meth="repeat">
      <a:schemeClr val="lt1"/>
    </dgm:linClrLst>
    <dgm:effectClrLst/>
    <dgm:txLinClrLst/>
    <dgm:txFillClrLst/>
    <dgm:txEffectClrLst/>
  </dgm:styleLbl>
  <dgm:styleLbl name="node3">
    <dgm:fillClrLst>
      <a:schemeClr val="accent6"/>
    </dgm:fillClrLst>
    <dgm:linClrLst meth="repeat">
      <a:schemeClr val="lt1"/>
    </dgm:linClrLst>
    <dgm:effectClrLst/>
    <dgm:txLinClrLst/>
    <dgm:txFillClrLst/>
    <dgm:txEffectClrLst/>
  </dgm:styleLbl>
  <dgm:styleLbl name="node4">
    <dgm:fillClrLst>
      <a:schemeClr val="accent1"/>
    </dgm:fillClrLst>
    <dgm:linClrLst meth="repeat">
      <a:schemeClr val="lt1"/>
    </dgm:linClrLst>
    <dgm:effectClrLst/>
    <dgm:txLinClrLst/>
    <dgm:txFillClrLst/>
    <dgm:txEffectClrLst/>
  </dgm:styleLbl>
  <dgm:styleLbl name="fgImgPlace1">
    <dgm:fillClrLst>
      <a:schemeClr val="accent4">
        <a:tint val="50000"/>
      </a:schemeClr>
      <a:schemeClr val="accent5">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4">
        <a:tint val="50000"/>
      </a:schemeClr>
      <a:schemeClr val="accent5">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4"/>
      <a:schemeClr val="accent5"/>
    </dgm:fillClrLst>
    <dgm:linClrLst meth="repeat">
      <a:schemeClr val="lt1"/>
    </dgm:linClrLst>
    <dgm:effectClrLst/>
    <dgm:txLinClrLst/>
    <dgm:txFillClrLst/>
    <dgm:txEffectClrLst/>
  </dgm:styleLbl>
  <dgm:styleLbl name="fgSibTrans2D1">
    <dgm:fillClrLst>
      <a:schemeClr val="accent4"/>
      <a:schemeClr val="accent5"/>
    </dgm:fillClrLst>
    <dgm:linClrLst meth="repeat">
      <a:schemeClr val="lt1"/>
    </dgm:linClrLst>
    <dgm:effectClrLst/>
    <dgm:txLinClrLst/>
    <dgm:txFillClrLst meth="repeat">
      <a:schemeClr val="lt1"/>
    </dgm:txFillClrLst>
    <dgm:txEffectClrLst/>
  </dgm:styleLbl>
  <dgm:styleLbl name="bgSibTrans2D1">
    <dgm:fillClrLst>
      <a:schemeClr val="accent4"/>
      <a:schemeClr val="accent5"/>
    </dgm:fillClrLst>
    <dgm:linClrLst meth="repeat">
      <a:schemeClr val="lt1"/>
    </dgm:linClrLst>
    <dgm:effectClrLst/>
    <dgm:txLinClrLst/>
    <dgm:txFillClrLst meth="repeat">
      <a:schemeClr val="lt1"/>
    </dgm:txFillClrLst>
    <dgm:txEffectClrLst/>
  </dgm:styleLbl>
  <dgm:styleLbl name="sibTrans1D1">
    <dgm:fillClrLst/>
    <dgm:linClrLst>
      <a:schemeClr val="accent4"/>
      <a:schemeClr val="accent5"/>
    </dgm:linClrLst>
    <dgm:effectClrLst/>
    <dgm:txLinClrLst/>
    <dgm:txFillClrLst meth="repeat">
      <a:schemeClr val="tx1"/>
    </dgm:txFillClrLst>
    <dgm:txEffectClrLst/>
  </dgm:styleLbl>
  <dgm:styleLbl name="callout">
    <dgm:fillClrLst meth="repeat">
      <a:schemeClr val="accent4"/>
    </dgm:fillClrLst>
    <dgm:linClrLst meth="repeat">
      <a:schemeClr val="accent4">
        <a:tint val="50000"/>
      </a:schemeClr>
    </dgm:linClrLst>
    <dgm:effectClrLst/>
    <dgm:txLinClrLst/>
    <dgm:txFillClrLst meth="repeat">
      <a:schemeClr val="tx1"/>
    </dgm:txFillClrLst>
    <dgm:txEffectClrLst/>
  </dgm:styleLbl>
  <dgm:styleLbl name="asst0">
    <dgm:fillClrLst meth="repeat">
      <a:schemeClr val="accent4"/>
    </dgm:fillClrLst>
    <dgm:linClrLst meth="repeat">
      <a:schemeClr val="lt1">
        <a:shade val="80000"/>
      </a:schemeClr>
    </dgm:linClrLst>
    <dgm:effectClrLst/>
    <dgm:txLinClrLst/>
    <dgm:txFillClrLst/>
    <dgm:txEffectClrLst/>
  </dgm:styleLbl>
  <dgm:styleLbl name="asst1">
    <dgm:fillClrLst meth="repeat">
      <a:schemeClr val="accent5"/>
    </dgm:fillClrLst>
    <dgm:linClrLst meth="repeat">
      <a:schemeClr val="lt1">
        <a:shade val="80000"/>
      </a:schemeClr>
    </dgm:linClrLst>
    <dgm:effectClrLst/>
    <dgm:txLinClrLst/>
    <dgm:txFillClrLst/>
    <dgm:txEffectClrLst/>
  </dgm:styleLbl>
  <dgm:styleLbl name="asst2">
    <dgm:fillClrLst>
      <a:schemeClr val="accent6"/>
    </dgm:fillClrLst>
    <dgm:linClrLst meth="repeat">
      <a:schemeClr val="lt1"/>
    </dgm:linClrLst>
    <dgm:effectClrLst/>
    <dgm:txLinClrLst/>
    <dgm:txFillClrLst/>
    <dgm:txEffectClrLst/>
  </dgm:styleLbl>
  <dgm:styleLbl name="asst3">
    <dgm:fillClrLst>
      <a:schemeClr val="accent1"/>
    </dgm:fillClrLst>
    <dgm:linClrLst meth="repeat">
      <a:schemeClr val="lt1"/>
    </dgm:linClrLst>
    <dgm:effectClrLst/>
    <dgm:txLinClrLst/>
    <dgm:txFillClrLst/>
    <dgm:txEffectClrLst/>
  </dgm:styleLbl>
  <dgm:styleLbl name="asst4">
    <dgm:fillClrLst>
      <a:schemeClr val="accent2"/>
    </dgm:fillClrLst>
    <dgm:linClrLst meth="repeat">
      <a:schemeClr val="lt1"/>
    </dgm:linClrLst>
    <dgm:effectClrLst/>
    <dgm:txLinClrLst/>
    <dgm:txFillClrLst/>
    <dgm:txEffectClrLst/>
  </dgm:styleLbl>
  <dgm:styleLbl name="parChTrans2D1">
    <dgm:fillClrLst meth="repeat">
      <a:schemeClr val="accent4"/>
    </dgm:fillClrLst>
    <dgm:linClrLst meth="repeat">
      <a:schemeClr val="lt1"/>
    </dgm:linClrLst>
    <dgm:effectClrLst/>
    <dgm:txLinClrLst/>
    <dgm:txFillClrLst meth="repeat">
      <a:schemeClr val="lt1"/>
    </dgm:txFillClrLst>
    <dgm:txEffectClrLst/>
  </dgm:styleLbl>
  <dgm:styleLbl name="parChTrans2D2">
    <dgm:fillClrLst meth="repeat">
      <a:schemeClr val="accent5"/>
    </dgm:fillClrLst>
    <dgm:linClrLst meth="repeat">
      <a:schemeClr val="lt1"/>
    </dgm:linClrLst>
    <dgm:effectClrLst/>
    <dgm:txLinClrLst/>
    <dgm:txFillClrLst/>
    <dgm:txEffectClrLst/>
  </dgm:styleLbl>
  <dgm:styleLbl name="parChTrans2D3">
    <dgm:fillClrLst meth="repeat">
      <a:schemeClr val="accent5"/>
    </dgm:fillClrLst>
    <dgm:linClrLst meth="repeat">
      <a:schemeClr val="lt1"/>
    </dgm:linClrLst>
    <dgm:effectClrLst/>
    <dgm:txLinClrLst/>
    <dgm:txFillClrLst/>
    <dgm:txEffectClrLst/>
  </dgm:styleLbl>
  <dgm:styleLbl name="parChTrans2D4">
    <dgm:fillClrLst meth="repeat">
      <a:schemeClr val="accent6"/>
    </dgm:fillClrLst>
    <dgm:linClrLst meth="repeat">
      <a:schemeClr val="lt1"/>
    </dgm:linClrLst>
    <dgm:effectClrLst/>
    <dgm:txLinClrLst/>
    <dgm:txFillClrLst meth="repeat">
      <a:schemeClr val="lt1"/>
    </dgm:txFillClrLst>
    <dgm:txEffectClrLst/>
  </dgm:styleLbl>
  <dgm:styleLbl name="parChTrans1D1">
    <dgm:fillClrLst meth="repeat">
      <a:schemeClr val="accent4"/>
    </dgm:fillClrLst>
    <dgm:linClrLst meth="repeat">
      <a:schemeClr val="accent4"/>
    </dgm:linClrLst>
    <dgm:effectClrLst/>
    <dgm:txLinClrLst/>
    <dgm:txFillClrLst meth="repeat">
      <a:schemeClr val="tx1"/>
    </dgm:txFillClrLst>
    <dgm:txEffectClrLst/>
  </dgm:styleLbl>
  <dgm:styleLbl name="parChTrans1D2">
    <dgm:fillClrLst meth="repeat">
      <a:schemeClr val="accent4">
        <a:tint val="90000"/>
      </a:schemeClr>
    </dgm:fillClrLst>
    <dgm:linClrLst meth="repeat">
      <a:schemeClr val="accent5"/>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6"/>
    </dgm:linClrLst>
    <dgm:effectClrLst/>
    <dgm:txLinClrLst/>
    <dgm:txFillClrLst meth="repeat">
      <a:schemeClr val="tx1"/>
    </dgm:txFillClrLst>
    <dgm:txEffectClrLst/>
  </dgm:styleLbl>
  <dgm:styleLbl name="parChTrans1D4">
    <dgm:fillClrLst meth="repeat">
      <a:schemeClr val="accent4">
        <a:tint val="50000"/>
      </a:schemeClr>
    </dgm:fillClrLst>
    <dgm:linClrLst meth="repeat">
      <a:schemeClr val="accent1"/>
    </dgm:linClrLst>
    <dgm:effectClrLst/>
    <dgm:txLinClrLst/>
    <dgm:txFillClrLst meth="repeat">
      <a:schemeClr val="tx1"/>
    </dgm:txFillClrLst>
    <dgm:txEffectClrLst/>
  </dgm:styleLbl>
  <dgm:styleLbl name="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conF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align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4"/>
    </dgm:linClrLst>
    <dgm:effectClrLst/>
    <dgm:txLinClrLst/>
    <dgm:txFillClrLst meth="repeat">
      <a:schemeClr val="dk1"/>
    </dgm:txFillClrLst>
    <dgm:txEffectClrLst/>
  </dgm:styleLbl>
  <dgm:styleLbl name="bgAcc1">
    <dgm:fillClrLst meth="repeat">
      <a:schemeClr val="lt1">
        <a:alpha val="90000"/>
      </a:schemeClr>
    </dgm:fillClrLst>
    <dgm:linClrLst>
      <a:schemeClr val="accent4"/>
      <a:schemeClr val="accent5"/>
    </dgm:linClrLst>
    <dgm:effectClrLst/>
    <dgm:txLinClrLst/>
    <dgm:txFillClrLst meth="repeat">
      <a:schemeClr val="dk1"/>
    </dgm:txFillClrLst>
    <dgm:txEffectClrLst/>
  </dgm:styleLbl>
  <dgm:styleLbl name="solidFgAcc1">
    <dgm:fillClrLst meth="repeat">
      <a:schemeClr val="lt1"/>
    </dgm:fillClrLst>
    <dgm:linClrLst>
      <a:schemeClr val="accent4"/>
      <a:schemeClr val="accent5"/>
    </dgm:linClrLst>
    <dgm:effectClrLst/>
    <dgm:txLinClrLst/>
    <dgm:txFillClrLst meth="repeat">
      <a:schemeClr val="dk1"/>
    </dgm:txFillClrLst>
    <dgm:txEffectClrLst/>
  </dgm:styleLbl>
  <dgm:styleLbl name="solidAlignAcc1">
    <dgm:fillClrLst meth="repeat">
      <a:schemeClr val="lt1"/>
    </dgm:fillClrLst>
    <dgm:linClrLst>
      <a:schemeClr val="accent4"/>
      <a:schemeClr val="accent5"/>
    </dgm:linClrLst>
    <dgm:effectClrLst/>
    <dgm:txLinClrLst/>
    <dgm:txFillClrLst meth="repeat">
      <a:schemeClr val="dk1"/>
    </dgm:txFillClrLst>
    <dgm:txEffectClrLst/>
  </dgm:styleLbl>
  <dgm:styleLbl name="solidBgAcc1">
    <dgm:fillClrLst meth="repeat">
      <a:schemeClr val="lt1"/>
    </dgm:fillClrLst>
    <dgm:linClrLst>
      <a:schemeClr val="accent4"/>
      <a:schemeClr val="accent5"/>
    </dgm:linClrLst>
    <dgm:effectClrLst/>
    <dgm:txLinClrLst/>
    <dgm:txFillClrLst meth="repeat">
      <a:schemeClr val="dk1"/>
    </dgm:txFillClrLst>
    <dgm:txEffectClrLst/>
  </dgm:styleLbl>
  <dgm:styleLbl name="f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bgAccFollowNode1">
    <dgm:fillClrLst>
      <a:schemeClr val="accent4">
        <a:tint val="40000"/>
        <a:alpha val="90000"/>
      </a:schemeClr>
      <a:schemeClr val="accent5">
        <a:tint val="40000"/>
        <a:alpha val="90000"/>
      </a:schemeClr>
    </dgm:fillClrLst>
    <dgm:linClrLst>
      <a:schemeClr val="accent4">
        <a:tint val="40000"/>
        <a:alpha val="90000"/>
      </a:schemeClr>
      <a:schemeClr val="accent5">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3"/>
    </dgm:linClrLst>
    <dgm:effectClrLst/>
    <dgm:txLinClrLst/>
    <dgm:txFillClrLst meth="repeat">
      <a:schemeClr val="dk1"/>
    </dgm:txFillClrLst>
    <dgm:txEffectClrLst/>
  </dgm:styleLbl>
  <dgm:styleLbl name="fgAcc2">
    <dgm:fillClrLst meth="repeat">
      <a:schemeClr val="lt1">
        <a:alpha val="90000"/>
      </a:schemeClr>
    </dgm:fillClrLst>
    <dgm:linClrLst>
      <a:schemeClr val="accent5"/>
    </dgm:linClrLst>
    <dgm:effectClrLst/>
    <dgm:txLinClrLst/>
    <dgm:txFillClrLst meth="repeat">
      <a:schemeClr val="dk1"/>
    </dgm:txFillClrLst>
    <dgm:txEffectClrLst/>
  </dgm:styleLbl>
  <dgm:styleLbl name="fgAcc3">
    <dgm:fillClrLst meth="repeat">
      <a:schemeClr val="lt1">
        <a:alpha val="90000"/>
      </a:schemeClr>
    </dgm:fillClrLst>
    <dgm:linClrLst>
      <a:schemeClr val="accent6"/>
    </dgm:linClrLst>
    <dgm:effectClrLst/>
    <dgm:txLinClrLst/>
    <dgm:txFillClrLst meth="repeat">
      <a:schemeClr val="dk1"/>
    </dgm:txFillClrLst>
    <dgm:txEffectClrLst/>
  </dgm:styleLbl>
  <dgm:styleLbl name="fgAcc4">
    <dgm:fillClrLst meth="repeat">
      <a:schemeClr val="lt1">
        <a:alpha val="90000"/>
      </a:schemeClr>
    </dgm:fillClrLst>
    <dgm:linClrLst>
      <a:schemeClr val="accent1"/>
    </dgm:linClrLst>
    <dgm:effectClrLst/>
    <dgm:txLinClrLst/>
    <dgm:txFillClrLst meth="repeat">
      <a:schemeClr val="dk1"/>
    </dgm:txFillClrLst>
    <dgm:txEffectClrLst/>
  </dgm:styleLbl>
  <dgm:styleLbl name="bgShp">
    <dgm:fillClrLst meth="repeat">
      <a:schemeClr val="accent4">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4">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4">
        <a:tint val="50000"/>
        <a:alpha val="40000"/>
      </a:schemeClr>
    </dgm:fillClrLst>
    <dgm:linClrLst meth="repeat">
      <a:schemeClr val="accent4"/>
    </dgm:linClrLst>
    <dgm:effectClrLst/>
    <dgm:txLinClrLst/>
    <dgm:txFillClrLst meth="repeat">
      <a:schemeClr val="lt1"/>
    </dgm:txFillClrLst>
    <dgm:txEffectClrLst/>
  </dgm:styleLbl>
  <dgm:styleLbl name="fgShp">
    <dgm:fillClrLst meth="repeat">
      <a:schemeClr val="accent4">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743D5F8-4C08-46B0-AD7B-9D7EE3798CCA}" type="doc">
      <dgm:prSet loTypeId="urn:microsoft.com/office/officeart/2005/8/layout/pyramid3" loCatId="pyramid" qsTypeId="urn:microsoft.com/office/officeart/2005/8/quickstyle/3d2" qsCatId="3D" csTypeId="urn:microsoft.com/office/officeart/2005/8/colors/colorful4" csCatId="colorful" phldr="1"/>
      <dgm:spPr/>
    </dgm:pt>
    <dgm:pt modelId="{81A30CC9-2CBB-48F4-B651-B7D7887506FE}">
      <dgm:prSet phldrT="[Texto]"/>
      <dgm:spPr/>
      <dgm:t>
        <a:bodyPr/>
        <a:lstStyle/>
        <a:p>
          <a:pPr algn="ctr"/>
          <a:r>
            <a:rPr lang="es-ES" b="1"/>
            <a:t>Prevención</a:t>
          </a:r>
        </a:p>
      </dgm:t>
    </dgm:pt>
    <dgm:pt modelId="{09DE14B0-5B2E-43A5-861D-A16AA87D0899}" type="parTrans" cxnId="{3C3E8234-43C1-42F4-AE58-B6DE361A13FA}">
      <dgm:prSet/>
      <dgm:spPr/>
      <dgm:t>
        <a:bodyPr/>
        <a:lstStyle/>
        <a:p>
          <a:pPr algn="ctr"/>
          <a:endParaRPr lang="es-ES" b="1"/>
        </a:p>
      </dgm:t>
    </dgm:pt>
    <dgm:pt modelId="{D1225935-2EC1-40E4-B455-7DBC6D12762B}" type="sibTrans" cxnId="{3C3E8234-43C1-42F4-AE58-B6DE361A13FA}">
      <dgm:prSet/>
      <dgm:spPr/>
      <dgm:t>
        <a:bodyPr/>
        <a:lstStyle/>
        <a:p>
          <a:pPr algn="ctr"/>
          <a:endParaRPr lang="es-ES" b="1"/>
        </a:p>
      </dgm:t>
    </dgm:pt>
    <dgm:pt modelId="{E71C927A-AA61-44C4-83C8-D89852F5CAB9}">
      <dgm:prSet phldrT="[Texto]"/>
      <dgm:spPr/>
      <dgm:t>
        <a:bodyPr/>
        <a:lstStyle/>
        <a:p>
          <a:pPr algn="ctr"/>
          <a:r>
            <a:rPr lang="es-ES" b="1"/>
            <a:t>Reutilización</a:t>
          </a:r>
        </a:p>
      </dgm:t>
    </dgm:pt>
    <dgm:pt modelId="{CE79BDFB-0710-43E0-BC3C-F206C97AD20D}" type="parTrans" cxnId="{33EBC5A0-C3BF-46F7-935A-74296A3FF8DD}">
      <dgm:prSet/>
      <dgm:spPr/>
      <dgm:t>
        <a:bodyPr/>
        <a:lstStyle/>
        <a:p>
          <a:pPr algn="ctr"/>
          <a:endParaRPr lang="es-ES" b="1"/>
        </a:p>
      </dgm:t>
    </dgm:pt>
    <dgm:pt modelId="{C5C82C78-8C6A-4669-BDDB-F7D7A5783A33}" type="sibTrans" cxnId="{33EBC5A0-C3BF-46F7-935A-74296A3FF8DD}">
      <dgm:prSet/>
      <dgm:spPr/>
      <dgm:t>
        <a:bodyPr/>
        <a:lstStyle/>
        <a:p>
          <a:pPr algn="ctr"/>
          <a:endParaRPr lang="es-ES" b="1"/>
        </a:p>
      </dgm:t>
    </dgm:pt>
    <dgm:pt modelId="{C5145A2E-9BB8-493B-9E07-A715C2DC00E8}">
      <dgm:prSet phldrT="[Texto]"/>
      <dgm:spPr/>
      <dgm:t>
        <a:bodyPr/>
        <a:lstStyle/>
        <a:p>
          <a:pPr algn="ctr"/>
          <a:r>
            <a:rPr lang="es-ES" b="1"/>
            <a:t>Tratamiento</a:t>
          </a:r>
        </a:p>
      </dgm:t>
    </dgm:pt>
    <dgm:pt modelId="{CF834BCC-5DA2-4682-9263-FAA1F18AE7DD}" type="parTrans" cxnId="{5546EE70-FB36-48A0-86D5-EE14D6AFDB4B}">
      <dgm:prSet/>
      <dgm:spPr/>
      <dgm:t>
        <a:bodyPr/>
        <a:lstStyle/>
        <a:p>
          <a:pPr algn="ctr"/>
          <a:endParaRPr lang="es-ES" b="1"/>
        </a:p>
      </dgm:t>
    </dgm:pt>
    <dgm:pt modelId="{F83209F6-CBD9-4860-9825-0FA0F13121AE}" type="sibTrans" cxnId="{5546EE70-FB36-48A0-86D5-EE14D6AFDB4B}">
      <dgm:prSet/>
      <dgm:spPr/>
      <dgm:t>
        <a:bodyPr/>
        <a:lstStyle/>
        <a:p>
          <a:pPr algn="ctr"/>
          <a:endParaRPr lang="es-ES" b="1"/>
        </a:p>
      </dgm:t>
    </dgm:pt>
    <dgm:pt modelId="{11EF6592-9F62-4983-81F3-24EFF88F3502}">
      <dgm:prSet phldrT="[Texto]"/>
      <dgm:spPr/>
      <dgm:t>
        <a:bodyPr/>
        <a:lstStyle/>
        <a:p>
          <a:pPr algn="ctr"/>
          <a:r>
            <a:rPr lang="es-ES" b="1"/>
            <a:t>Aprovechamiento</a:t>
          </a:r>
        </a:p>
      </dgm:t>
    </dgm:pt>
    <dgm:pt modelId="{99D50C23-D576-4CFA-977E-DB430E9BC963}" type="parTrans" cxnId="{FC488210-D87B-4DC9-BA0C-B0DC3C5388B3}">
      <dgm:prSet/>
      <dgm:spPr/>
      <dgm:t>
        <a:bodyPr/>
        <a:lstStyle/>
        <a:p>
          <a:pPr algn="ctr"/>
          <a:endParaRPr lang="es-ES" b="1"/>
        </a:p>
      </dgm:t>
    </dgm:pt>
    <dgm:pt modelId="{16EDA164-F61A-4C1D-AB7D-430AB6D14269}" type="sibTrans" cxnId="{FC488210-D87B-4DC9-BA0C-B0DC3C5388B3}">
      <dgm:prSet/>
      <dgm:spPr/>
      <dgm:t>
        <a:bodyPr/>
        <a:lstStyle/>
        <a:p>
          <a:pPr algn="ctr"/>
          <a:endParaRPr lang="es-ES" b="1"/>
        </a:p>
      </dgm:t>
    </dgm:pt>
    <dgm:pt modelId="{AAF2A3B0-D6FD-4299-8772-E1E0552E35C6}">
      <dgm:prSet phldrT="[Texto]"/>
      <dgm:spPr/>
      <dgm:t>
        <a:bodyPr/>
        <a:lstStyle/>
        <a:p>
          <a:pPr algn="ctr"/>
          <a:r>
            <a:rPr lang="es-ES" b="1"/>
            <a:t>Disposición final</a:t>
          </a:r>
        </a:p>
      </dgm:t>
    </dgm:pt>
    <dgm:pt modelId="{37566A68-EC96-433B-A19A-138151C436AA}" type="parTrans" cxnId="{5B20F55E-3E76-49C2-9E80-20396C99771A}">
      <dgm:prSet/>
      <dgm:spPr/>
      <dgm:t>
        <a:bodyPr/>
        <a:lstStyle/>
        <a:p>
          <a:pPr algn="ctr"/>
          <a:endParaRPr lang="es-ES" b="1"/>
        </a:p>
      </dgm:t>
    </dgm:pt>
    <dgm:pt modelId="{61543889-86EF-4148-AA16-35E70323441B}" type="sibTrans" cxnId="{5B20F55E-3E76-49C2-9E80-20396C99771A}">
      <dgm:prSet/>
      <dgm:spPr/>
      <dgm:t>
        <a:bodyPr/>
        <a:lstStyle/>
        <a:p>
          <a:pPr algn="ctr"/>
          <a:endParaRPr lang="es-ES" b="1"/>
        </a:p>
      </dgm:t>
    </dgm:pt>
    <dgm:pt modelId="{79B38B0C-00EF-4313-9D56-2270FA4B9803}" type="pres">
      <dgm:prSet presAssocID="{C743D5F8-4C08-46B0-AD7B-9D7EE3798CCA}" presName="Name0" presStyleCnt="0">
        <dgm:presLayoutVars>
          <dgm:dir/>
          <dgm:animLvl val="lvl"/>
          <dgm:resizeHandles val="exact"/>
        </dgm:presLayoutVars>
      </dgm:prSet>
      <dgm:spPr/>
    </dgm:pt>
    <dgm:pt modelId="{A6AC876D-F129-4245-A829-6E77736EDF6A}" type="pres">
      <dgm:prSet presAssocID="{81A30CC9-2CBB-48F4-B651-B7D7887506FE}" presName="Name8" presStyleCnt="0"/>
      <dgm:spPr/>
    </dgm:pt>
    <dgm:pt modelId="{57A459F4-39E3-41AB-A08F-BA4BF39D4641}" type="pres">
      <dgm:prSet presAssocID="{81A30CC9-2CBB-48F4-B651-B7D7887506FE}" presName="level" presStyleLbl="node1" presStyleIdx="0" presStyleCnt="5">
        <dgm:presLayoutVars>
          <dgm:chMax val="1"/>
          <dgm:bulletEnabled val="1"/>
        </dgm:presLayoutVars>
      </dgm:prSet>
      <dgm:spPr/>
      <dgm:t>
        <a:bodyPr/>
        <a:lstStyle/>
        <a:p>
          <a:endParaRPr lang="es-ES"/>
        </a:p>
      </dgm:t>
    </dgm:pt>
    <dgm:pt modelId="{889A8D61-024B-4B45-93EF-E481F247077D}" type="pres">
      <dgm:prSet presAssocID="{81A30CC9-2CBB-48F4-B651-B7D7887506FE}" presName="levelTx" presStyleLbl="revTx" presStyleIdx="0" presStyleCnt="0">
        <dgm:presLayoutVars>
          <dgm:chMax val="1"/>
          <dgm:bulletEnabled val="1"/>
        </dgm:presLayoutVars>
      </dgm:prSet>
      <dgm:spPr/>
      <dgm:t>
        <a:bodyPr/>
        <a:lstStyle/>
        <a:p>
          <a:endParaRPr lang="es-ES"/>
        </a:p>
      </dgm:t>
    </dgm:pt>
    <dgm:pt modelId="{5096FC63-BFAC-4439-A14D-F367CD16DCDF}" type="pres">
      <dgm:prSet presAssocID="{E71C927A-AA61-44C4-83C8-D89852F5CAB9}" presName="Name8" presStyleCnt="0"/>
      <dgm:spPr/>
    </dgm:pt>
    <dgm:pt modelId="{57ECC2B7-CE4B-49A2-8889-0A3EB8ED0F81}" type="pres">
      <dgm:prSet presAssocID="{E71C927A-AA61-44C4-83C8-D89852F5CAB9}" presName="level" presStyleLbl="node1" presStyleIdx="1" presStyleCnt="5">
        <dgm:presLayoutVars>
          <dgm:chMax val="1"/>
          <dgm:bulletEnabled val="1"/>
        </dgm:presLayoutVars>
      </dgm:prSet>
      <dgm:spPr/>
      <dgm:t>
        <a:bodyPr/>
        <a:lstStyle/>
        <a:p>
          <a:endParaRPr lang="es-CO"/>
        </a:p>
      </dgm:t>
    </dgm:pt>
    <dgm:pt modelId="{AAB0AAD4-2DEF-4CC0-B388-786F011BC947}" type="pres">
      <dgm:prSet presAssocID="{E71C927A-AA61-44C4-83C8-D89852F5CAB9}" presName="levelTx" presStyleLbl="revTx" presStyleIdx="0" presStyleCnt="0">
        <dgm:presLayoutVars>
          <dgm:chMax val="1"/>
          <dgm:bulletEnabled val="1"/>
        </dgm:presLayoutVars>
      </dgm:prSet>
      <dgm:spPr/>
      <dgm:t>
        <a:bodyPr/>
        <a:lstStyle/>
        <a:p>
          <a:endParaRPr lang="es-CO"/>
        </a:p>
      </dgm:t>
    </dgm:pt>
    <dgm:pt modelId="{C76EDEC7-A604-4603-9D8B-276F4242B9B0}" type="pres">
      <dgm:prSet presAssocID="{11EF6592-9F62-4983-81F3-24EFF88F3502}" presName="Name8" presStyleCnt="0"/>
      <dgm:spPr/>
    </dgm:pt>
    <dgm:pt modelId="{9CA44475-A1A9-4F1A-9523-D8836A5788C2}" type="pres">
      <dgm:prSet presAssocID="{11EF6592-9F62-4983-81F3-24EFF88F3502}" presName="level" presStyleLbl="node1" presStyleIdx="2" presStyleCnt="5">
        <dgm:presLayoutVars>
          <dgm:chMax val="1"/>
          <dgm:bulletEnabled val="1"/>
        </dgm:presLayoutVars>
      </dgm:prSet>
      <dgm:spPr/>
      <dgm:t>
        <a:bodyPr/>
        <a:lstStyle/>
        <a:p>
          <a:endParaRPr lang="es-CO"/>
        </a:p>
      </dgm:t>
    </dgm:pt>
    <dgm:pt modelId="{6B79CC8E-CD1A-4016-A941-ED893B67FFF3}" type="pres">
      <dgm:prSet presAssocID="{11EF6592-9F62-4983-81F3-24EFF88F3502}" presName="levelTx" presStyleLbl="revTx" presStyleIdx="0" presStyleCnt="0">
        <dgm:presLayoutVars>
          <dgm:chMax val="1"/>
          <dgm:bulletEnabled val="1"/>
        </dgm:presLayoutVars>
      </dgm:prSet>
      <dgm:spPr/>
      <dgm:t>
        <a:bodyPr/>
        <a:lstStyle/>
        <a:p>
          <a:endParaRPr lang="es-CO"/>
        </a:p>
      </dgm:t>
    </dgm:pt>
    <dgm:pt modelId="{601E67DD-5BE4-48DD-82BF-A13A93F85F0C}" type="pres">
      <dgm:prSet presAssocID="{C5145A2E-9BB8-493B-9E07-A715C2DC00E8}" presName="Name8" presStyleCnt="0"/>
      <dgm:spPr/>
    </dgm:pt>
    <dgm:pt modelId="{59631766-05CF-49E8-973C-7F2C053A187E}" type="pres">
      <dgm:prSet presAssocID="{C5145A2E-9BB8-493B-9E07-A715C2DC00E8}" presName="level" presStyleLbl="node1" presStyleIdx="3" presStyleCnt="5">
        <dgm:presLayoutVars>
          <dgm:chMax val="1"/>
          <dgm:bulletEnabled val="1"/>
        </dgm:presLayoutVars>
      </dgm:prSet>
      <dgm:spPr/>
      <dgm:t>
        <a:bodyPr/>
        <a:lstStyle/>
        <a:p>
          <a:endParaRPr lang="es-CO"/>
        </a:p>
      </dgm:t>
    </dgm:pt>
    <dgm:pt modelId="{7A4A8FF4-AFD4-40BE-92AF-C15D4FDF0A1C}" type="pres">
      <dgm:prSet presAssocID="{C5145A2E-9BB8-493B-9E07-A715C2DC00E8}" presName="levelTx" presStyleLbl="revTx" presStyleIdx="0" presStyleCnt="0">
        <dgm:presLayoutVars>
          <dgm:chMax val="1"/>
          <dgm:bulletEnabled val="1"/>
        </dgm:presLayoutVars>
      </dgm:prSet>
      <dgm:spPr/>
      <dgm:t>
        <a:bodyPr/>
        <a:lstStyle/>
        <a:p>
          <a:endParaRPr lang="es-CO"/>
        </a:p>
      </dgm:t>
    </dgm:pt>
    <dgm:pt modelId="{52841F67-8865-4B06-9F38-D81D4F01B9A6}" type="pres">
      <dgm:prSet presAssocID="{AAF2A3B0-D6FD-4299-8772-E1E0552E35C6}" presName="Name8" presStyleCnt="0"/>
      <dgm:spPr/>
    </dgm:pt>
    <dgm:pt modelId="{FFF02B7D-1586-4BAF-AB6D-D1F48FC9AAC2}" type="pres">
      <dgm:prSet presAssocID="{AAF2A3B0-D6FD-4299-8772-E1E0552E35C6}" presName="level" presStyleLbl="node1" presStyleIdx="4" presStyleCnt="5" custScaleX="96875">
        <dgm:presLayoutVars>
          <dgm:chMax val="1"/>
          <dgm:bulletEnabled val="1"/>
        </dgm:presLayoutVars>
      </dgm:prSet>
      <dgm:spPr/>
      <dgm:t>
        <a:bodyPr/>
        <a:lstStyle/>
        <a:p>
          <a:endParaRPr lang="es-CO"/>
        </a:p>
      </dgm:t>
    </dgm:pt>
    <dgm:pt modelId="{96892912-BF29-42E7-8009-47266E590826}" type="pres">
      <dgm:prSet presAssocID="{AAF2A3B0-D6FD-4299-8772-E1E0552E35C6}" presName="levelTx" presStyleLbl="revTx" presStyleIdx="0" presStyleCnt="0">
        <dgm:presLayoutVars>
          <dgm:chMax val="1"/>
          <dgm:bulletEnabled val="1"/>
        </dgm:presLayoutVars>
      </dgm:prSet>
      <dgm:spPr/>
      <dgm:t>
        <a:bodyPr/>
        <a:lstStyle/>
        <a:p>
          <a:endParaRPr lang="es-CO"/>
        </a:p>
      </dgm:t>
    </dgm:pt>
  </dgm:ptLst>
  <dgm:cxnLst>
    <dgm:cxn modelId="{B4A778C4-9414-47E1-93E5-9CAE0184CD6D}" type="presOf" srcId="{81A30CC9-2CBB-48F4-B651-B7D7887506FE}" destId="{889A8D61-024B-4B45-93EF-E481F247077D}" srcOrd="1" destOrd="0" presId="urn:microsoft.com/office/officeart/2005/8/layout/pyramid3"/>
    <dgm:cxn modelId="{B31921C6-5A22-4A9E-A6F3-E7CE1F8EC3B0}" type="presOf" srcId="{C743D5F8-4C08-46B0-AD7B-9D7EE3798CCA}" destId="{79B38B0C-00EF-4313-9D56-2270FA4B9803}" srcOrd="0" destOrd="0" presId="urn:microsoft.com/office/officeart/2005/8/layout/pyramid3"/>
    <dgm:cxn modelId="{FC488210-D87B-4DC9-BA0C-B0DC3C5388B3}" srcId="{C743D5F8-4C08-46B0-AD7B-9D7EE3798CCA}" destId="{11EF6592-9F62-4983-81F3-24EFF88F3502}" srcOrd="2" destOrd="0" parTransId="{99D50C23-D576-4CFA-977E-DB430E9BC963}" sibTransId="{16EDA164-F61A-4C1D-AB7D-430AB6D14269}"/>
    <dgm:cxn modelId="{9752409C-8C1D-44F3-8661-CA96CC3FCCAF}" type="presOf" srcId="{AAF2A3B0-D6FD-4299-8772-E1E0552E35C6}" destId="{FFF02B7D-1586-4BAF-AB6D-D1F48FC9AAC2}" srcOrd="0" destOrd="0" presId="urn:microsoft.com/office/officeart/2005/8/layout/pyramid3"/>
    <dgm:cxn modelId="{5FF0DF7D-5FE8-40B1-A055-F7A2B296CE23}" type="presOf" srcId="{E71C927A-AA61-44C4-83C8-D89852F5CAB9}" destId="{AAB0AAD4-2DEF-4CC0-B388-786F011BC947}" srcOrd="1" destOrd="0" presId="urn:microsoft.com/office/officeart/2005/8/layout/pyramid3"/>
    <dgm:cxn modelId="{5546EE70-FB36-48A0-86D5-EE14D6AFDB4B}" srcId="{C743D5F8-4C08-46B0-AD7B-9D7EE3798CCA}" destId="{C5145A2E-9BB8-493B-9E07-A715C2DC00E8}" srcOrd="3" destOrd="0" parTransId="{CF834BCC-5DA2-4682-9263-FAA1F18AE7DD}" sibTransId="{F83209F6-CBD9-4860-9825-0FA0F13121AE}"/>
    <dgm:cxn modelId="{27CE309C-F1B9-43C5-9F25-AC1D94D617F9}" type="presOf" srcId="{C5145A2E-9BB8-493B-9E07-A715C2DC00E8}" destId="{59631766-05CF-49E8-973C-7F2C053A187E}" srcOrd="0" destOrd="0" presId="urn:microsoft.com/office/officeart/2005/8/layout/pyramid3"/>
    <dgm:cxn modelId="{853463FC-B569-4CF1-B3E9-963F361ECBC5}" type="presOf" srcId="{11EF6592-9F62-4983-81F3-24EFF88F3502}" destId="{6B79CC8E-CD1A-4016-A941-ED893B67FFF3}" srcOrd="1" destOrd="0" presId="urn:microsoft.com/office/officeart/2005/8/layout/pyramid3"/>
    <dgm:cxn modelId="{6A4D1CB6-39D6-485E-AEA6-0BBF12F911FB}" type="presOf" srcId="{AAF2A3B0-D6FD-4299-8772-E1E0552E35C6}" destId="{96892912-BF29-42E7-8009-47266E590826}" srcOrd="1" destOrd="0" presId="urn:microsoft.com/office/officeart/2005/8/layout/pyramid3"/>
    <dgm:cxn modelId="{3C3E8234-43C1-42F4-AE58-B6DE361A13FA}" srcId="{C743D5F8-4C08-46B0-AD7B-9D7EE3798CCA}" destId="{81A30CC9-2CBB-48F4-B651-B7D7887506FE}" srcOrd="0" destOrd="0" parTransId="{09DE14B0-5B2E-43A5-861D-A16AA87D0899}" sibTransId="{D1225935-2EC1-40E4-B455-7DBC6D12762B}"/>
    <dgm:cxn modelId="{E5D17510-1BFC-43C5-A67A-9268D5FE50DC}" type="presOf" srcId="{C5145A2E-9BB8-493B-9E07-A715C2DC00E8}" destId="{7A4A8FF4-AFD4-40BE-92AF-C15D4FDF0A1C}" srcOrd="1" destOrd="0" presId="urn:microsoft.com/office/officeart/2005/8/layout/pyramid3"/>
    <dgm:cxn modelId="{079F2DBC-4730-4571-AED7-17AF7099CA73}" type="presOf" srcId="{81A30CC9-2CBB-48F4-B651-B7D7887506FE}" destId="{57A459F4-39E3-41AB-A08F-BA4BF39D4641}" srcOrd="0" destOrd="0" presId="urn:microsoft.com/office/officeart/2005/8/layout/pyramid3"/>
    <dgm:cxn modelId="{06FCF2F7-D362-44F0-894D-0D1910FD1C9C}" type="presOf" srcId="{E71C927A-AA61-44C4-83C8-D89852F5CAB9}" destId="{57ECC2B7-CE4B-49A2-8889-0A3EB8ED0F81}" srcOrd="0" destOrd="0" presId="urn:microsoft.com/office/officeart/2005/8/layout/pyramid3"/>
    <dgm:cxn modelId="{5B20F55E-3E76-49C2-9E80-20396C99771A}" srcId="{C743D5F8-4C08-46B0-AD7B-9D7EE3798CCA}" destId="{AAF2A3B0-D6FD-4299-8772-E1E0552E35C6}" srcOrd="4" destOrd="0" parTransId="{37566A68-EC96-433B-A19A-138151C436AA}" sibTransId="{61543889-86EF-4148-AA16-35E70323441B}"/>
    <dgm:cxn modelId="{33EBC5A0-C3BF-46F7-935A-74296A3FF8DD}" srcId="{C743D5F8-4C08-46B0-AD7B-9D7EE3798CCA}" destId="{E71C927A-AA61-44C4-83C8-D89852F5CAB9}" srcOrd="1" destOrd="0" parTransId="{CE79BDFB-0710-43E0-BC3C-F206C97AD20D}" sibTransId="{C5C82C78-8C6A-4669-BDDB-F7D7A5783A33}"/>
    <dgm:cxn modelId="{65BB5084-6061-40A9-BEC9-10C9413F54A8}" type="presOf" srcId="{11EF6592-9F62-4983-81F3-24EFF88F3502}" destId="{9CA44475-A1A9-4F1A-9523-D8836A5788C2}" srcOrd="0" destOrd="0" presId="urn:microsoft.com/office/officeart/2005/8/layout/pyramid3"/>
    <dgm:cxn modelId="{DA43891C-4BF3-432A-875D-AB0BB97E1EA4}" type="presParOf" srcId="{79B38B0C-00EF-4313-9D56-2270FA4B9803}" destId="{A6AC876D-F129-4245-A829-6E77736EDF6A}" srcOrd="0" destOrd="0" presId="urn:microsoft.com/office/officeart/2005/8/layout/pyramid3"/>
    <dgm:cxn modelId="{EDCE50B2-357F-4C7A-B9E5-F88E451AF053}" type="presParOf" srcId="{A6AC876D-F129-4245-A829-6E77736EDF6A}" destId="{57A459F4-39E3-41AB-A08F-BA4BF39D4641}" srcOrd="0" destOrd="0" presId="urn:microsoft.com/office/officeart/2005/8/layout/pyramid3"/>
    <dgm:cxn modelId="{506D60E6-E32E-4939-A9E7-B1EC87D7894A}" type="presParOf" srcId="{A6AC876D-F129-4245-A829-6E77736EDF6A}" destId="{889A8D61-024B-4B45-93EF-E481F247077D}" srcOrd="1" destOrd="0" presId="urn:microsoft.com/office/officeart/2005/8/layout/pyramid3"/>
    <dgm:cxn modelId="{21AA39D7-24BB-4E2A-917C-03D2DB3D3B72}" type="presParOf" srcId="{79B38B0C-00EF-4313-9D56-2270FA4B9803}" destId="{5096FC63-BFAC-4439-A14D-F367CD16DCDF}" srcOrd="1" destOrd="0" presId="urn:microsoft.com/office/officeart/2005/8/layout/pyramid3"/>
    <dgm:cxn modelId="{F6565166-813D-4F0E-89D3-E9FBE24B1326}" type="presParOf" srcId="{5096FC63-BFAC-4439-A14D-F367CD16DCDF}" destId="{57ECC2B7-CE4B-49A2-8889-0A3EB8ED0F81}" srcOrd="0" destOrd="0" presId="urn:microsoft.com/office/officeart/2005/8/layout/pyramid3"/>
    <dgm:cxn modelId="{C1782034-6AB8-4474-B6E6-DCE2926DDF57}" type="presParOf" srcId="{5096FC63-BFAC-4439-A14D-F367CD16DCDF}" destId="{AAB0AAD4-2DEF-4CC0-B388-786F011BC947}" srcOrd="1" destOrd="0" presId="urn:microsoft.com/office/officeart/2005/8/layout/pyramid3"/>
    <dgm:cxn modelId="{E2BC997D-A33B-4793-8822-AA0DED735F6D}" type="presParOf" srcId="{79B38B0C-00EF-4313-9D56-2270FA4B9803}" destId="{C76EDEC7-A604-4603-9D8B-276F4242B9B0}" srcOrd="2" destOrd="0" presId="urn:microsoft.com/office/officeart/2005/8/layout/pyramid3"/>
    <dgm:cxn modelId="{195E8BAB-8423-413B-8D0F-396F8D985DF3}" type="presParOf" srcId="{C76EDEC7-A604-4603-9D8B-276F4242B9B0}" destId="{9CA44475-A1A9-4F1A-9523-D8836A5788C2}" srcOrd="0" destOrd="0" presId="urn:microsoft.com/office/officeart/2005/8/layout/pyramid3"/>
    <dgm:cxn modelId="{A2F70504-5DF3-459A-AD17-EF6D8B21103E}" type="presParOf" srcId="{C76EDEC7-A604-4603-9D8B-276F4242B9B0}" destId="{6B79CC8E-CD1A-4016-A941-ED893B67FFF3}" srcOrd="1" destOrd="0" presId="urn:microsoft.com/office/officeart/2005/8/layout/pyramid3"/>
    <dgm:cxn modelId="{5D8D6505-3C8F-4CD1-B9F2-FE5F49CCD8B4}" type="presParOf" srcId="{79B38B0C-00EF-4313-9D56-2270FA4B9803}" destId="{601E67DD-5BE4-48DD-82BF-A13A93F85F0C}" srcOrd="3" destOrd="0" presId="urn:microsoft.com/office/officeart/2005/8/layout/pyramid3"/>
    <dgm:cxn modelId="{12686211-2632-433F-B3EF-D61EEC265E2E}" type="presParOf" srcId="{601E67DD-5BE4-48DD-82BF-A13A93F85F0C}" destId="{59631766-05CF-49E8-973C-7F2C053A187E}" srcOrd="0" destOrd="0" presId="urn:microsoft.com/office/officeart/2005/8/layout/pyramid3"/>
    <dgm:cxn modelId="{38912E59-F78F-4D86-95C1-AA61B0C05C04}" type="presParOf" srcId="{601E67DD-5BE4-48DD-82BF-A13A93F85F0C}" destId="{7A4A8FF4-AFD4-40BE-92AF-C15D4FDF0A1C}" srcOrd="1" destOrd="0" presId="urn:microsoft.com/office/officeart/2005/8/layout/pyramid3"/>
    <dgm:cxn modelId="{4551178B-5796-4AEB-ABAC-D0FE30B15993}" type="presParOf" srcId="{79B38B0C-00EF-4313-9D56-2270FA4B9803}" destId="{52841F67-8865-4B06-9F38-D81D4F01B9A6}" srcOrd="4" destOrd="0" presId="urn:microsoft.com/office/officeart/2005/8/layout/pyramid3"/>
    <dgm:cxn modelId="{7F38222D-3802-4D0F-9B07-9589413BFEA4}" type="presParOf" srcId="{52841F67-8865-4B06-9F38-D81D4F01B9A6}" destId="{FFF02B7D-1586-4BAF-AB6D-D1F48FC9AAC2}" srcOrd="0" destOrd="0" presId="urn:microsoft.com/office/officeart/2005/8/layout/pyramid3"/>
    <dgm:cxn modelId="{0F24ECAC-1CB0-452B-AC15-F0917378CE87}" type="presParOf" srcId="{52841F67-8865-4B06-9F38-D81D4F01B9A6}" destId="{96892912-BF29-42E7-8009-47266E590826}" srcOrd="1" destOrd="0" presId="urn:microsoft.com/office/officeart/2005/8/layout/pyramid3"/>
  </dgm:cxnLst>
  <dgm:bg/>
  <dgm:whole/>
  <dgm:extLst>
    <a:ext uri="http://schemas.microsoft.com/office/drawing/2008/diagram">
      <dsp:dataModelExt xmlns:dsp="http://schemas.microsoft.com/office/drawing/2008/diagram" relId="rId1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57A459F4-39E3-41AB-A08F-BA4BF39D4641}">
      <dsp:nvSpPr>
        <dsp:cNvPr id="0" name=""/>
        <dsp:cNvSpPr/>
      </dsp:nvSpPr>
      <dsp:spPr>
        <a:xfrm rot="10800000">
          <a:off x="0" y="0"/>
          <a:ext cx="3047999" cy="335279"/>
        </a:xfrm>
        <a:prstGeom prst="trapezoid">
          <a:avLst>
            <a:gd name="adj" fmla="val 90909"/>
          </a:avLst>
        </a:prstGeom>
        <a:gradFill rotWithShape="0">
          <a:gsLst>
            <a:gs pos="0">
              <a:schemeClr val="accent4">
                <a:hueOff val="0"/>
                <a:satOff val="0"/>
                <a:lumOff val="0"/>
                <a:alphaOff val="0"/>
                <a:satMod val="103000"/>
                <a:lumMod val="102000"/>
                <a:tint val="94000"/>
              </a:schemeClr>
            </a:gs>
            <a:gs pos="50000">
              <a:schemeClr val="accent4">
                <a:hueOff val="0"/>
                <a:satOff val="0"/>
                <a:lumOff val="0"/>
                <a:alphaOff val="0"/>
                <a:satMod val="110000"/>
                <a:lumMod val="100000"/>
                <a:shade val="100000"/>
              </a:schemeClr>
            </a:gs>
            <a:gs pos="100000">
              <a:schemeClr val="accent4">
                <a:hueOff val="0"/>
                <a:satOff val="0"/>
                <a:lumOff val="0"/>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a:t>Prevención</a:t>
          </a:r>
        </a:p>
      </dsp:txBody>
      <dsp:txXfrm rot="-10800000">
        <a:off x="533400" y="0"/>
        <a:ext cx="1981200" cy="335279"/>
      </dsp:txXfrm>
    </dsp:sp>
    <dsp:sp modelId="{57ECC2B7-CE4B-49A2-8889-0A3EB8ED0F81}">
      <dsp:nvSpPr>
        <dsp:cNvPr id="0" name=""/>
        <dsp:cNvSpPr/>
      </dsp:nvSpPr>
      <dsp:spPr>
        <a:xfrm rot="10800000">
          <a:off x="304800" y="335280"/>
          <a:ext cx="2438399" cy="335279"/>
        </a:xfrm>
        <a:prstGeom prst="trapezoid">
          <a:avLst>
            <a:gd name="adj" fmla="val 90909"/>
          </a:avLst>
        </a:prstGeom>
        <a:gradFill rotWithShape="0">
          <a:gsLst>
            <a:gs pos="0">
              <a:schemeClr val="accent4">
                <a:hueOff val="2598923"/>
                <a:satOff val="-11992"/>
                <a:lumOff val="441"/>
                <a:alphaOff val="0"/>
                <a:satMod val="103000"/>
                <a:lumMod val="102000"/>
                <a:tint val="94000"/>
              </a:schemeClr>
            </a:gs>
            <a:gs pos="50000">
              <a:schemeClr val="accent4">
                <a:hueOff val="2598923"/>
                <a:satOff val="-11992"/>
                <a:lumOff val="441"/>
                <a:alphaOff val="0"/>
                <a:satMod val="110000"/>
                <a:lumMod val="100000"/>
                <a:shade val="100000"/>
              </a:schemeClr>
            </a:gs>
            <a:gs pos="100000">
              <a:schemeClr val="accent4">
                <a:hueOff val="2598923"/>
                <a:satOff val="-11992"/>
                <a:lumOff val="441"/>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a:t>Reutilización</a:t>
          </a:r>
        </a:p>
      </dsp:txBody>
      <dsp:txXfrm rot="-10800000">
        <a:off x="731520" y="335280"/>
        <a:ext cx="1584959" cy="335279"/>
      </dsp:txXfrm>
    </dsp:sp>
    <dsp:sp modelId="{9CA44475-A1A9-4F1A-9523-D8836A5788C2}">
      <dsp:nvSpPr>
        <dsp:cNvPr id="0" name=""/>
        <dsp:cNvSpPr/>
      </dsp:nvSpPr>
      <dsp:spPr>
        <a:xfrm rot="10800000">
          <a:off x="609600" y="670560"/>
          <a:ext cx="1828800" cy="335279"/>
        </a:xfrm>
        <a:prstGeom prst="trapezoid">
          <a:avLst>
            <a:gd name="adj" fmla="val 90909"/>
          </a:avLst>
        </a:prstGeom>
        <a:gradFill rotWithShape="0">
          <a:gsLst>
            <a:gs pos="0">
              <a:schemeClr val="accent4">
                <a:hueOff val="5197846"/>
                <a:satOff val="-23984"/>
                <a:lumOff val="883"/>
                <a:alphaOff val="0"/>
                <a:satMod val="103000"/>
                <a:lumMod val="102000"/>
                <a:tint val="94000"/>
              </a:schemeClr>
            </a:gs>
            <a:gs pos="50000">
              <a:schemeClr val="accent4">
                <a:hueOff val="5197846"/>
                <a:satOff val="-23984"/>
                <a:lumOff val="883"/>
                <a:alphaOff val="0"/>
                <a:satMod val="110000"/>
                <a:lumMod val="100000"/>
                <a:shade val="100000"/>
              </a:schemeClr>
            </a:gs>
            <a:gs pos="100000">
              <a:schemeClr val="accent4">
                <a:hueOff val="5197846"/>
                <a:satOff val="-23984"/>
                <a:lumOff val="883"/>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a:t>Aprovechamiento</a:t>
          </a:r>
        </a:p>
      </dsp:txBody>
      <dsp:txXfrm rot="-10800000">
        <a:off x="929640" y="670560"/>
        <a:ext cx="1188720" cy="335279"/>
      </dsp:txXfrm>
    </dsp:sp>
    <dsp:sp modelId="{59631766-05CF-49E8-973C-7F2C053A187E}">
      <dsp:nvSpPr>
        <dsp:cNvPr id="0" name=""/>
        <dsp:cNvSpPr/>
      </dsp:nvSpPr>
      <dsp:spPr>
        <a:xfrm rot="10800000">
          <a:off x="914400" y="1005840"/>
          <a:ext cx="1219199" cy="335279"/>
        </a:xfrm>
        <a:prstGeom prst="trapezoid">
          <a:avLst>
            <a:gd name="adj" fmla="val 90909"/>
          </a:avLst>
        </a:prstGeom>
        <a:gradFill rotWithShape="0">
          <a:gsLst>
            <a:gs pos="0">
              <a:schemeClr val="accent4">
                <a:hueOff val="7796769"/>
                <a:satOff val="-35976"/>
                <a:lumOff val="1324"/>
                <a:alphaOff val="0"/>
                <a:satMod val="103000"/>
                <a:lumMod val="102000"/>
                <a:tint val="94000"/>
              </a:schemeClr>
            </a:gs>
            <a:gs pos="50000">
              <a:schemeClr val="accent4">
                <a:hueOff val="7796769"/>
                <a:satOff val="-35976"/>
                <a:lumOff val="1324"/>
                <a:alphaOff val="0"/>
                <a:satMod val="110000"/>
                <a:lumMod val="100000"/>
                <a:shade val="100000"/>
              </a:schemeClr>
            </a:gs>
            <a:gs pos="100000">
              <a:schemeClr val="accent4">
                <a:hueOff val="7796769"/>
                <a:satOff val="-35976"/>
                <a:lumOff val="1324"/>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a:t>Tratamiento</a:t>
          </a:r>
        </a:p>
      </dsp:txBody>
      <dsp:txXfrm rot="-10800000">
        <a:off x="1127760" y="1005840"/>
        <a:ext cx="792479" cy="335279"/>
      </dsp:txXfrm>
    </dsp:sp>
    <dsp:sp modelId="{FFF02B7D-1586-4BAF-AB6D-D1F48FC9AAC2}">
      <dsp:nvSpPr>
        <dsp:cNvPr id="0" name=""/>
        <dsp:cNvSpPr/>
      </dsp:nvSpPr>
      <dsp:spPr>
        <a:xfrm rot="10800000">
          <a:off x="1228725" y="1341120"/>
          <a:ext cx="590549" cy="335279"/>
        </a:xfrm>
        <a:prstGeom prst="trapezoid">
          <a:avLst>
            <a:gd name="adj" fmla="val 90909"/>
          </a:avLst>
        </a:prstGeom>
        <a:gradFill rotWithShape="0">
          <a:gsLst>
            <a:gs pos="0">
              <a:schemeClr val="accent4">
                <a:hueOff val="10395692"/>
                <a:satOff val="-47968"/>
                <a:lumOff val="1765"/>
                <a:alphaOff val="0"/>
                <a:satMod val="103000"/>
                <a:lumMod val="102000"/>
                <a:tint val="94000"/>
              </a:schemeClr>
            </a:gs>
            <a:gs pos="50000">
              <a:schemeClr val="accent4">
                <a:hueOff val="10395692"/>
                <a:satOff val="-47968"/>
                <a:lumOff val="1765"/>
                <a:alphaOff val="0"/>
                <a:satMod val="110000"/>
                <a:lumMod val="100000"/>
                <a:shade val="100000"/>
              </a:schemeClr>
            </a:gs>
            <a:gs pos="100000">
              <a:schemeClr val="accent4">
                <a:hueOff val="10395692"/>
                <a:satOff val="-47968"/>
                <a:lumOff val="1765"/>
                <a:alphaOff val="0"/>
                <a:lumMod val="99000"/>
                <a:satMod val="120000"/>
                <a:shade val="78000"/>
              </a:schemeClr>
            </a:gs>
          </a:gsLst>
          <a:lin ang="5400000" scaled="0"/>
        </a:gradFill>
        <a:ln>
          <a:noFill/>
        </a:ln>
        <a:effectLst/>
        <a:scene3d>
          <a:camera prst="orthographicFront"/>
          <a:lightRig rig="threePt" dir="t">
            <a:rot lat="0" lon="0" rev="7500000"/>
          </a:lightRig>
        </a:scene3d>
        <a:sp3d prstMaterial="plastic">
          <a:bevelT w="127000" h="25400" prst="relaxedInset"/>
        </a:sp3d>
      </dsp:spPr>
      <dsp:style>
        <a:lnRef idx="0">
          <a:scrgbClr r="0" g="0" b="0"/>
        </a:lnRef>
        <a:fillRef idx="3">
          <a:scrgbClr r="0" g="0" b="0"/>
        </a:fillRef>
        <a:effectRef idx="2">
          <a:scrgbClr r="0" g="0" b="0"/>
        </a:effectRef>
        <a:fontRef idx="minor">
          <a:schemeClr val="lt1"/>
        </a:fontRef>
      </dsp:style>
      <dsp:txBody>
        <a:bodyPr spcFirstLastPara="0" vert="horz" wrap="square" lIns="11430" tIns="11430" rIns="11430" bIns="11430" numCol="1" spcCol="1270" anchor="ctr" anchorCtr="0">
          <a:noAutofit/>
        </a:bodyPr>
        <a:lstStyle/>
        <a:p>
          <a:pPr lvl="0" algn="ctr" defTabSz="400050">
            <a:lnSpc>
              <a:spcPct val="90000"/>
            </a:lnSpc>
            <a:spcBef>
              <a:spcPct val="0"/>
            </a:spcBef>
            <a:spcAft>
              <a:spcPct val="35000"/>
            </a:spcAft>
          </a:pPr>
          <a:r>
            <a:rPr lang="es-ES" sz="900" b="1" kern="1200"/>
            <a:t>Disposición final</a:t>
          </a:r>
        </a:p>
      </dsp:txBody>
      <dsp:txXfrm rot="-10800000">
        <a:off x="1228725" y="1341120"/>
        <a:ext cx="590549" cy="335279"/>
      </dsp:txXfrm>
    </dsp:sp>
  </dsp:spTree>
</dsp:drawing>
</file>

<file path=word/diagrams/layout1.xml><?xml version="1.0" encoding="utf-8"?>
<dgm:layoutDef xmlns:dgm="http://schemas.openxmlformats.org/drawingml/2006/diagram" xmlns:a="http://schemas.openxmlformats.org/drawingml/2006/main" uniqueId="urn:microsoft.com/office/officeart/2005/8/layout/pyramid3">
  <dgm:title val=""/>
  <dgm:desc val=""/>
  <dgm:catLst>
    <dgm:cat type="pyramid" pri="2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val="exact"/>
    </dgm:varLst>
    <dgm:choose name="Name1">
      <dgm:if name="Name2" func="var" arg="dir" op="equ" val="norm">
        <dgm:alg type="pyra">
          <dgm:param type="linDir" val="fromT"/>
          <dgm:param type="txDir" val="fromT"/>
          <dgm:param type="pyraAcctPos" val="aft"/>
          <dgm:param type="pyraAcctTxMar" val="step"/>
          <dgm:param type="pyraAcctBkgdNode" val="acctBkgd"/>
          <dgm:param type="pyraAcctTxNode" val="acctTx"/>
          <dgm:param type="pyraLvlNode" val="level"/>
        </dgm:alg>
      </dgm:if>
      <dgm:else name="Name3">
        <dgm:alg type="pyra">
          <dgm:param type="linDir" val="fromT"/>
          <dgm:param type="txDir" val="fromT"/>
          <dgm:param type="pyraAcctPos" val="bef"/>
          <dgm:param type="pyraAcctTxMar" val="step"/>
          <dgm:param type="pyraAcctBkgdNode" val="acctBkgd"/>
          <dgm:param type="pyraAcctTxNode" val="acctTx"/>
          <dgm:param type="pyraLvlNode" val="level"/>
        </dgm:alg>
      </dgm:else>
    </dgm:choose>
    <dgm:shape xmlns:r="http://schemas.openxmlformats.org/officeDocument/2006/relationships" r:blip="">
      <dgm:adjLst/>
    </dgm:shape>
    <dgm:presOf/>
    <dgm:choose name="Name4">
      <dgm:if name="Name5" axis="root des" ptType="all node" func="maxDepth" op="gte" val="2">
        <dgm:constrLst>
          <dgm:constr type="primFontSz" for="des" forName="levelTx" op="equ"/>
          <dgm:constr type="secFontSz" for="des" forName="acctTx" op="equ"/>
          <dgm:constr type="pyraAcctRatio" val="0.32"/>
        </dgm:constrLst>
      </dgm:if>
      <dgm:else name="Name6">
        <dgm:constrLst>
          <dgm:constr type="primFontSz" for="des" forName="levelTx" op="equ"/>
          <dgm:constr type="secFontSz" for="des" forName="acctTx" op="equ"/>
          <dgm:constr type="pyraAcctRatio"/>
        </dgm:constrLst>
      </dgm:else>
    </dgm:choose>
    <dgm:ruleLst/>
    <dgm:forEach name="Name7" axis="ch" ptType="node">
      <dgm:layoutNode name="Name8">
        <dgm:alg type="composite">
          <dgm:param type="horzAlign" val="none"/>
        </dgm:alg>
        <dgm:shape xmlns:r="http://schemas.openxmlformats.org/officeDocument/2006/relationships" r:blip="">
          <dgm:adjLst/>
        </dgm:shape>
        <dgm:presOf/>
        <dgm:choose name="Name9">
          <dgm:if name="Name10" axis="self" ptType="node" func="revPos" op="equ" val="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dgm:constr type="h" for="ch" forName="levelTx" refType="h" refFor="ch" refForName="level"/>
            </dgm:constrLst>
          </dgm:if>
          <dgm:else name="Name11">
            <dgm:constrLst>
              <dgm:constr type="ctrX" for="ch" forName="acctBkgd" val="1"/>
              <dgm:constr type="ctrY" for="ch" forName="acctBkgd" val="1"/>
              <dgm:constr type="w" for="ch" forName="acctBkgd" val="1"/>
              <dgm:constr type="h" for="ch" forName="acctBkgd" val="1"/>
              <dgm:constr type="ctrX" for="ch" forName="acctTx" val="1"/>
              <dgm:constr type="ctrY" for="ch" forName="acctTx" val="1"/>
              <dgm:constr type="w" for="ch" forName="acctTx" val="1"/>
              <dgm:constr type="h" for="ch" forName="acctTx" val="1"/>
              <dgm:constr type="ctrX" for="ch" forName="level" val="1"/>
              <dgm:constr type="ctrY" for="ch" forName="level" val="1"/>
              <dgm:constr type="w" for="ch" forName="level" val="1"/>
              <dgm:constr type="h" for="ch" forName="level" val="1"/>
              <dgm:constr type="ctrX" for="ch" forName="levelTx" refType="ctrX" refFor="ch" refForName="level"/>
              <dgm:constr type="ctrY" for="ch" forName="levelTx" refType="ctrY" refFor="ch" refForName="level"/>
              <dgm:constr type="w" for="ch" forName="levelTx" refType="w" refFor="ch" refForName="level" fact="0.65"/>
              <dgm:constr type="h" for="ch" forName="levelTx" refType="h" refFor="ch" refForName="level"/>
            </dgm:constrLst>
          </dgm:else>
        </dgm:choose>
        <dgm:ruleLst/>
        <dgm:choose name="Name12">
          <dgm:if name="Name13" axis="ch" ptType="node" func="cnt" op="gte" val="1">
            <dgm:layoutNode name="acctBkgd" styleLbl="alignAcc1">
              <dgm:alg type="sp"/>
              <dgm:shape xmlns:r="http://schemas.openxmlformats.org/officeDocument/2006/relationships" type="nonIsoscelesTrapezoid" r:blip="">
                <dgm:adjLst/>
              </dgm:shape>
              <dgm:presOf axis="des" ptType="node"/>
              <dgm:constrLst/>
              <dgm:ruleLst/>
            </dgm:layoutNode>
            <dgm:layoutNode name="acctTx" styleLbl="alignAcc1">
              <dgm:varLst>
                <dgm:bulletEnabled val="1"/>
              </dgm:varLst>
              <dgm:alg type="tx">
                <dgm:param type="stBulletLvl" val="1"/>
                <dgm:param type="txAnchorVertCh" val="t"/>
              </dgm:alg>
              <dgm:shape xmlns:r="http://schemas.openxmlformats.org/officeDocument/2006/relationships" type="nonIsoscelesTrapezoid" r:blip="" hideGeom="1">
                <dgm:adjLst/>
              </dgm:shape>
              <dgm:presOf axis="des" ptType="node"/>
              <dgm:constrLst>
                <dgm:constr type="secFontSz" val="65"/>
                <dgm:constr type="primFontSz" refType="secFontSz"/>
                <dgm:constr type="tMarg" refType="secFontSz" fact="0.3"/>
                <dgm:constr type="bMarg" refType="secFontSz" fact="0.3"/>
                <dgm:constr type="lMarg" refType="secFontSz" fact="0.3"/>
                <dgm:constr type="rMarg" refType="secFontSz" fact="0.3"/>
              </dgm:constrLst>
              <dgm:ruleLst>
                <dgm:rule type="secFontSz" val="5" fact="NaN" max="NaN"/>
              </dgm:ruleLst>
            </dgm:layoutNode>
          </dgm:if>
          <dgm:else name="Name14"/>
        </dgm:choose>
        <dgm:layoutNode name="level">
          <dgm:varLst>
            <dgm:chMax val="1"/>
            <dgm:bulletEnabled val="1"/>
          </dgm:varLst>
          <dgm:alg type="sp"/>
          <dgm:shape xmlns:r="http://schemas.openxmlformats.org/officeDocument/2006/relationships" type="trapezoid" r:blip="">
            <dgm:adjLst/>
          </dgm:shape>
          <dgm:presOf axis="self"/>
          <dgm:constrLst>
            <dgm:constr type="h" val="500"/>
            <dgm:constr type="w" val="1"/>
          </dgm:constrLst>
          <dgm:ruleLst/>
        </dgm:layoutNode>
        <dgm:layoutNode name="levelTx" styleLbl="revTx">
          <dgm:varLst>
            <dgm:chMax val="1"/>
            <dgm:bulletEnabled val="1"/>
          </dgm:varLst>
          <dgm:alg type="tx"/>
          <dgm:shape xmlns:r="http://schemas.openxmlformats.org/officeDocument/2006/relationships" type="rect" r:blip="" hideGeom="1">
            <dgm:adjLst/>
          </dgm:shape>
          <dgm:presOf axis="self"/>
          <dgm:constrLst>
            <dgm:constr type="tMarg" refType="primFontSz" fact="0.1"/>
            <dgm:constr type="bMarg" refType="primFontSz" fact="0.1"/>
            <dgm:constr type="lMarg" refType="primFontSz" fact="0.1"/>
            <dgm:constr type="rMarg" refType="primFontSz" fact="0.1"/>
            <dgm:constr type="primFontSz" val="65"/>
          </dgm:constrLst>
          <dgm:ruleLst>
            <dgm:rule type="primFontSz" val="5" fact="NaN" max="NaN"/>
          </dgm:ruleLst>
        </dgm:layoutNode>
      </dgm:layoutNod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2">
  <dgm:title val=""/>
  <dgm:desc val=""/>
  <dgm:catLst>
    <dgm:cat type="3D" pri="11200"/>
  </dgm:catLst>
  <dgm:scene3d>
    <a:camera prst="orthographicFront"/>
    <a:lightRig rig="threePt" dir="t"/>
  </dgm:scene3d>
  <dgm:styleLbl name="node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a:rot lat="0" lon="0" rev="7500000"/>
      </a:lightRig>
    </dgm:scene3d>
    <dgm:sp3d prstMaterial="plastic">
      <a:bevelT w="127000" h="25400" prst="relaxedInset"/>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tx1"/>
      </a:fontRef>
    </dgm:style>
  </dgm:styleLbl>
  <dgm:styleLbl name="aling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dgm:style>
  </dgm:styleLbl>
  <dgm:styleLbl name="alignImgPlace1">
    <dgm:scene3d>
      <a:camera prst="orthographicFront"/>
      <a:lightRig rig="threePt" dir="t">
        <a:rot lat="0" lon="0" rev="7500000"/>
      </a:lightRig>
    </dgm:scene3d>
    <dgm:sp3d z="2540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bgImgPlace1">
    <dgm:scene3d>
      <a:camera prst="orthographicFront"/>
      <a:lightRig rig="threePt" dir="t">
        <a:rot lat="0" lon="0" rev="7500000"/>
      </a:lightRig>
    </dgm:scene3d>
    <dgm:sp3d z="-1524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threePt" dir="t">
        <a:rot lat="0" lon="0" rev="7500000"/>
      </a:lightRig>
    </dgm:scene3d>
    <dgm:sp3d z="-700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f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bgSibTrans2D1">
    <dgm:scene3d>
      <a:camera prst="orthographicFront"/>
      <a:lightRig rig="threePt" dir="t">
        <a:rot lat="0" lon="0" rev="7500000"/>
      </a:lightRig>
    </dgm:scene3d>
    <dgm:sp3d z="-152400" extrusionH="63500" prstMaterial="matte">
      <a:bevelT w="25400" h="63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sibTrans1D1">
    <dgm:scene3d>
      <a:camera prst="orthographicFront"/>
      <a:lightRig rig="threePt" dir="t">
        <a:rot lat="0" lon="0" rev="7500000"/>
      </a:lightRig>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a:rot lat="0" lon="0" rev="7500000"/>
      </a:lightRig>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a:rot lat="0" lon="0" rev="7500000"/>
      </a:lightRig>
    </dgm:scene3d>
    <dgm:sp3d prstMaterial="plastic">
      <a:bevelT w="127000" h="25400" prst="relaxedInset"/>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parChTrans2D2">
    <dgm:scene3d>
      <a:camera prst="orthographicFront"/>
      <a:lightRig rig="threePt" dir="t">
        <a:rot lat="0" lon="0" rev="7500000"/>
      </a:lightRig>
    </dgm:scene3d>
    <dgm:sp3d extrusionH="63500" prstMaterial="matte">
      <a:bevelT w="50800" h="19050" prst="relaxedInset"/>
      <a:contourClr>
        <a:schemeClr val="bg1"/>
      </a:contourClr>
    </dgm:sp3d>
    <dgm:txPr/>
    <dgm:style>
      <a:lnRef idx="0">
        <a:scrgbClr r="0" g="0" b="0"/>
      </a:lnRef>
      <a:fillRef idx="1">
        <a:scrgbClr r="0" g="0" b="0"/>
      </a:fillRef>
      <a:effectRef idx="0">
        <a:scrgbClr r="0" g="0" b="0"/>
      </a:effectRef>
      <a:fontRef idx="minor">
        <a:schemeClr val="lt1"/>
      </a:fontRef>
    </dgm:style>
  </dgm:styleLbl>
  <dgm:styleLbl name="parChTrans2D3">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threePt" dir="t">
        <a:rot lat="0" lon="0" rev="7500000"/>
      </a:lightRig>
    </dgm:scene3d>
    <dgm:sp3d z="60000" prstMaterial="flat">
      <a:bevelT w="120900" h="88900"/>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a:rot lat="0" lon="0" rev="7500000"/>
      </a:lightRig>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a:rot lat="0" lon="0" rev="7500000"/>
      </a:lightRig>
    </dgm:scene3d>
    <dgm:sp3d z="152400" extrusionH="63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a:rot lat="0" lon="0" rev="7500000"/>
      </a:lightRig>
    </dgm:scene3d>
    <dgm:sp3d extrusionH="190500" prstMaterial="dkEdge">
      <a:bevelT w="135400" h="16350" prst="relaxedInset"/>
      <a:contourClr>
        <a:schemeClr val="bg1"/>
      </a:contourClr>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a:rot lat="0" lon="0" rev="7500000"/>
      </a:lightRig>
    </dgm:scene3d>
    <dgm:sp3d prstMaterial="plastic">
      <a:bevelT w="127000" h="35400"/>
    </dgm:sp3d>
    <dgm:txPr/>
    <dgm:style>
      <a:lnRef idx="1">
        <a:scrgbClr r="0" g="0" b="0"/>
      </a:lnRef>
      <a:fillRef idx="1">
        <a:scrgbClr r="0" g="0" b="0"/>
      </a:fillRef>
      <a:effectRef idx="2">
        <a:scrgbClr r="0" g="0" b="0"/>
      </a:effectRef>
      <a:fontRef idx="minor">
        <a:schemeClr val="lt1"/>
      </a:fontRef>
    </dgm:style>
  </dgm:styleLbl>
  <dgm:styleLbl name="bgAcc1">
    <dgm:scene3d>
      <a:camera prst="orthographicFront"/>
      <a:lightRig rig="threePt" dir="t">
        <a:rot lat="0" lon="0" rev="7500000"/>
      </a:lightRig>
    </dgm:scene3d>
    <dgm:sp3d z="-152400" extrusionH="63500" prstMaterial="dkEdge">
      <a:bevelT w="124450" h="16350" prst="relaxedInset"/>
      <a:contourClr>
        <a:schemeClr val="bg1"/>
      </a:contourClr>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a:rot lat="0" lon="0" rev="7500000"/>
      </a:lightRig>
    </dgm:scene3d>
    <dgm:sp3d z="152400" extrusionH="63500" prstMaterial="dkEdge">
      <a:bevelT w="120800" h="19050" prst="relaxedInset"/>
      <a:contourClr>
        <a:schemeClr val="bg1"/>
      </a:contourClr>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a:rot lat="0" lon="0" rev="7500000"/>
      </a:lightRig>
    </dgm:scene3d>
    <dgm:sp3d extrusionH="190500" prstMaterial="dkEdge">
      <a:bevelT w="120650" h="38100" prst="relaxedInset"/>
      <a:contourClr>
        <a:schemeClr val="bg1"/>
      </a:contourClr>
    </dgm:sp3d>
    <dgm:txPr/>
    <dgm:style>
      <a:lnRef idx="1">
        <a:scrgbClr r="0" g="0" b="0"/>
      </a:lnRef>
      <a:fillRef idx="1">
        <a:scrgbClr r="0" g="0" b="0"/>
      </a:fillRef>
      <a:effectRef idx="2">
        <a:scrgbClr r="0" g="0" b="0"/>
      </a:effectRef>
      <a:fontRef idx="minor"/>
    </dgm:style>
  </dgm:styleLbl>
  <dgm:styleLbl name="solidBgAcc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a:rot lat="0" lon="0" rev="7500000"/>
      </a:lightRig>
    </dgm:scene3d>
    <dgm:sp3d extrusionH="190500" prstMaterial="dkEdge">
      <a:bevelT w="120650" h="38100" prst="relaxedInset"/>
      <a:bevelB w="120650" h="57150" prst="relaxedInset"/>
      <a:contourClr>
        <a:schemeClr val="bg1"/>
      </a:contourClr>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a:rot lat="0" lon="0" rev="7500000"/>
      </a:lightRig>
    </dgm:scene3d>
    <dgm:sp3d z="-152400" extrusionH="63500" prstMaterial="dkEdge">
      <a:bevelT w="144450" h="36350" prst="relaxedInset"/>
      <a:contourClr>
        <a:schemeClr val="bg1"/>
      </a:contourClr>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a:rot lat="0" lon="0" rev="7500000"/>
      </a:lightRig>
    </dgm:scene3d>
    <dgm:sp3d z="152400" extrusionH="63500" prstMaterial="dkEdge">
      <a:bevelT w="125400" h="36350" prst="relaxedInset"/>
      <a:contourClr>
        <a:schemeClr val="bg1"/>
      </a:contourClr>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a:rot lat="0" lon="0" rev="7500000"/>
      </a:lightRig>
    </dgm:scene3d>
    <dgm:sp3d z="-152400" extrusionH="63500" prstMaterial="matte">
      <a:bevelT w="144450" h="6350" prst="relaxedInset"/>
      <a:contourClr>
        <a:schemeClr val="bg1"/>
      </a:contourClr>
    </dgm:sp3d>
    <dgm:txPr/>
    <dgm:style>
      <a:lnRef idx="0">
        <a:scrgbClr r="0" g="0" b="0"/>
      </a:lnRef>
      <a:fillRef idx="3">
        <a:scrgbClr r="0" g="0" b="0"/>
      </a:fillRef>
      <a:effectRef idx="0">
        <a:scrgbClr r="0" g="0" b="0"/>
      </a:effectRef>
      <a:fontRef idx="minor"/>
    </dgm:style>
  </dgm:styleLbl>
  <dgm:styleLbl name="dkBgShp">
    <dgm:scene3d>
      <a:camera prst="orthographicFront"/>
      <a:lightRig rig="threePt" dir="t">
        <a:rot lat="0" lon="0" rev="7500000"/>
      </a:lightRig>
    </dgm:scene3d>
    <dgm:sp3d prstMaterial="plastic">
      <a:bevelT w="127000" h="25400" prst="relaxedInset"/>
      <a:bevelB w="88900" h="121750" prst="angle"/>
    </dgm:sp3d>
    <dgm:txPr/>
    <dgm:style>
      <a:lnRef idx="0">
        <a:scrgbClr r="0" g="0" b="0"/>
      </a:lnRef>
      <a:fillRef idx="1">
        <a:scrgbClr r="0" g="0" b="0"/>
      </a:fillRef>
      <a:effectRef idx="2">
        <a:scrgbClr r="0" g="0" b="0"/>
      </a:effectRef>
      <a:fontRef idx="minor">
        <a:schemeClr val="lt1"/>
      </a:fontRef>
    </dgm:style>
  </dgm:styleLbl>
  <dgm:styleLbl name="trBgShp">
    <dgm:scene3d>
      <a:camera prst="orthographicFront"/>
      <a:lightRig rig="threePt"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threePt" dir="t">
        <a:rot lat="0" lon="0" rev="7500000"/>
      </a:lightRig>
    </dgm:scene3d>
    <dgm:sp3d z="152400" extrusionH="63500" prstMaterial="matte">
      <a:bevelT w="50800" h="19050" prst="relaxedInset"/>
      <a:contourClr>
        <a:schemeClr val="bg1"/>
      </a:contourClr>
    </dgm:sp3d>
    <dgm:txPr/>
    <dgm:style>
      <a:lnRef idx="0">
        <a:scrgbClr r="0" g="0" b="0"/>
      </a:lnRef>
      <a:fillRef idx="1">
        <a:scrgbClr r="0" g="0" b="0"/>
      </a:fillRef>
      <a:effectRef idx="2">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8BF9A10-053F-424F-A6B8-645E7F990F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7855</Words>
  <Characters>43205</Characters>
  <Application>Microsoft Office Word</Application>
  <DocSecurity>0</DocSecurity>
  <Lines>360</Lines>
  <Paragraphs>101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50959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PILAR PULIDO</dc:creator>
  <cp:keywords/>
  <dc:description/>
  <cp:lastModifiedBy>Comision CQ. Quinta</cp:lastModifiedBy>
  <cp:revision>2</cp:revision>
  <cp:lastPrinted>2019-11-05T14:53:00Z</cp:lastPrinted>
  <dcterms:created xsi:type="dcterms:W3CDTF">2019-11-05T17:13:00Z</dcterms:created>
  <dcterms:modified xsi:type="dcterms:W3CDTF">2019-11-05T17:13:00Z</dcterms:modified>
</cp:coreProperties>
</file>