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EE0" w:rsidRPr="00730CBC"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Bogotá, 23 d</w:t>
      </w:r>
      <w:r w:rsidRPr="00730CBC">
        <w:rPr>
          <w:rFonts w:ascii="Century Gothic" w:eastAsia="Times New Roman" w:hAnsi="Century Gothic" w:cs="Arial"/>
          <w:color w:val="000000" w:themeColor="text1"/>
          <w:lang w:val="es-ES" w:eastAsia="es-ES"/>
        </w:rPr>
        <w:t>e julio de 2019</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Doctor</w:t>
      </w:r>
    </w:p>
    <w:p w:rsidR="007A7EE0" w:rsidRPr="00730CBC" w:rsidRDefault="007A7EE0" w:rsidP="007A7EE0">
      <w:pPr>
        <w:jc w:val="both"/>
        <w:rPr>
          <w:rFonts w:ascii="Century Gothic" w:eastAsia="Times New Roman" w:hAnsi="Century Gothic" w:cs="Arial"/>
          <w:b/>
          <w:caps/>
          <w:color w:val="000000" w:themeColor="text1"/>
          <w:lang w:val="es-ES" w:eastAsia="es-ES"/>
        </w:rPr>
      </w:pPr>
      <w:r w:rsidRPr="00730CBC">
        <w:rPr>
          <w:rFonts w:ascii="Century Gothic" w:eastAsia="Times New Roman" w:hAnsi="Century Gothic" w:cs="Arial"/>
          <w:b/>
          <w:caps/>
          <w:color w:val="000000" w:themeColor="text1"/>
          <w:lang w:val="es-ES" w:eastAsia="es-ES"/>
        </w:rPr>
        <w:t>jorge humberto mantilla</w:t>
      </w: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Secretario General</w:t>
      </w:r>
    </w:p>
    <w:p w:rsidR="007A7EE0" w:rsidRPr="00730CBC" w:rsidRDefault="007A7EE0" w:rsidP="007A7EE0">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 xml:space="preserve">Honorable Cámara De Representantes </w:t>
      </w: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 xml:space="preserve">Congreso de la República </w:t>
      </w:r>
    </w:p>
    <w:p w:rsidR="007A7EE0" w:rsidRPr="00730CBC" w:rsidRDefault="007A7EE0" w:rsidP="007A7EE0">
      <w:pPr>
        <w:jc w:val="both"/>
        <w:rPr>
          <w:rFonts w:ascii="Century Gothic" w:eastAsia="Times New Roman" w:hAnsi="Century Gothic" w:cs="Arial"/>
          <w:caps/>
          <w:color w:val="000000" w:themeColor="text1"/>
          <w:lang w:val="es-ES" w:eastAsia="es-ES"/>
        </w:rPr>
      </w:pPr>
      <w:r w:rsidRPr="00730CBC">
        <w:rPr>
          <w:rFonts w:ascii="Century Gothic" w:eastAsia="Times New Roman" w:hAnsi="Century Gothic" w:cs="Arial"/>
          <w:color w:val="000000" w:themeColor="text1"/>
          <w:lang w:val="es-ES" w:eastAsia="es-ES"/>
        </w:rPr>
        <w:t>Ciudad</w:t>
      </w:r>
    </w:p>
    <w:p w:rsidR="007A7EE0" w:rsidRPr="00730CBC" w:rsidRDefault="007A7EE0" w:rsidP="007A7EE0">
      <w:pPr>
        <w:jc w:val="both"/>
        <w:rPr>
          <w:rFonts w:ascii="Century Gothic" w:eastAsia="Times New Roman" w:hAnsi="Century Gothic" w:cs="Arial"/>
          <w:caps/>
          <w:color w:val="000000" w:themeColor="text1"/>
          <w:lang w:val="es-ES" w:eastAsia="es-ES"/>
        </w:rPr>
      </w:pPr>
    </w:p>
    <w:p w:rsidR="007A7EE0" w:rsidRPr="00730CBC" w:rsidRDefault="007A7EE0" w:rsidP="007A7EE0">
      <w:pPr>
        <w:jc w:val="both"/>
        <w:rPr>
          <w:rFonts w:ascii="Century Gothic" w:eastAsia="Times New Roman" w:hAnsi="Century Gothic" w:cs="Arial"/>
          <w:caps/>
          <w:color w:val="000000" w:themeColor="text1"/>
          <w:lang w:val="es-ES" w:eastAsia="es-ES"/>
        </w:rPr>
      </w:pPr>
    </w:p>
    <w:p w:rsidR="00BF0E9E" w:rsidRPr="00AF23CE" w:rsidRDefault="007A7EE0" w:rsidP="00AF23CE">
      <w:pPr>
        <w:pStyle w:val="NormalWeb"/>
        <w:spacing w:line="270" w:lineRule="atLeast"/>
        <w:jc w:val="center"/>
        <w:rPr>
          <w:rFonts w:ascii="Century Gothic" w:hAnsi="Century Gothic" w:cs="Arial"/>
          <w:bCs/>
          <w:i/>
          <w:color w:val="000000" w:themeColor="text1"/>
        </w:rPr>
      </w:pPr>
      <w:r w:rsidRPr="00730CBC">
        <w:rPr>
          <w:rFonts w:ascii="Century Gothic" w:hAnsi="Century Gothic" w:cs="Arial"/>
          <w:b/>
          <w:color w:val="000000" w:themeColor="text1"/>
          <w:lang w:val="es-ES" w:eastAsia="es-ES"/>
        </w:rPr>
        <w:t>Asunto:</w:t>
      </w:r>
      <w:r w:rsidRPr="00730CBC">
        <w:rPr>
          <w:rFonts w:ascii="Century Gothic" w:hAnsi="Century Gothic" w:cs="Arial"/>
          <w:color w:val="000000" w:themeColor="text1"/>
          <w:lang w:val="es-ES" w:eastAsia="es-ES"/>
        </w:rPr>
        <w:t xml:space="preserve"> Radicación de   Proyecto de </w:t>
      </w:r>
      <w:r w:rsidR="005B7313">
        <w:rPr>
          <w:rFonts w:ascii="Century Gothic" w:hAnsi="Century Gothic" w:cs="Arial"/>
          <w:color w:val="000000" w:themeColor="text1"/>
          <w:lang w:val="es-ES" w:eastAsia="es-ES"/>
        </w:rPr>
        <w:t>Ley</w:t>
      </w:r>
      <w:r w:rsidRPr="00730CBC">
        <w:rPr>
          <w:rFonts w:ascii="Century Gothic" w:hAnsi="Century Gothic" w:cs="Arial"/>
          <w:color w:val="000000" w:themeColor="text1"/>
          <w:lang w:val="es-ES" w:eastAsia="es-ES"/>
        </w:rPr>
        <w:t xml:space="preserve"> </w:t>
      </w:r>
      <w:r w:rsidRPr="00730CBC">
        <w:rPr>
          <w:rFonts w:ascii="Century Gothic" w:hAnsi="Century Gothic" w:cs="Arial"/>
          <w:b/>
          <w:color w:val="000000" w:themeColor="text1"/>
          <w:lang w:val="es-ES" w:eastAsia="es-ES"/>
        </w:rPr>
        <w:t>“</w:t>
      </w:r>
      <w:r w:rsidR="00AF23CE">
        <w:rPr>
          <w:rFonts w:ascii="Century Gothic" w:hAnsi="Century Gothic" w:cs="Arial"/>
          <w:bCs/>
          <w:i/>
          <w:color w:val="000000" w:themeColor="text1"/>
        </w:rPr>
        <w:t>Por medio del cual se cuidan los recursos públicos de la Nación</w:t>
      </w:r>
      <w:r w:rsidR="00F41A38" w:rsidRPr="00AF23CE">
        <w:rPr>
          <w:rFonts w:ascii="Century Gothic" w:hAnsi="Century Gothic"/>
          <w:bCs/>
        </w:rPr>
        <w:t>”</w:t>
      </w:r>
    </w:p>
    <w:p w:rsidR="007A7EE0" w:rsidRPr="00730CBC" w:rsidRDefault="007A7EE0" w:rsidP="007A7EE0">
      <w:pPr>
        <w:jc w:val="both"/>
        <w:rPr>
          <w:rFonts w:ascii="Century Gothic" w:eastAsia="Times New Roman" w:hAnsi="Century Gothic" w:cs="Arial"/>
          <w:b/>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Señor Secretario,</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AF23CE" w:rsidRDefault="007A7EE0" w:rsidP="00AF23CE">
      <w:pPr>
        <w:pStyle w:val="NormalWeb"/>
        <w:spacing w:line="270" w:lineRule="atLeast"/>
        <w:jc w:val="both"/>
        <w:rPr>
          <w:rFonts w:ascii="Century Gothic" w:hAnsi="Century Gothic" w:cs="Arial"/>
          <w:bCs/>
          <w:i/>
          <w:color w:val="000000" w:themeColor="text1"/>
        </w:rPr>
      </w:pPr>
      <w:r w:rsidRPr="00F41A38">
        <w:rPr>
          <w:rFonts w:ascii="Century Gothic" w:hAnsi="Century Gothic" w:cs="Arial"/>
          <w:color w:val="000000" w:themeColor="text1"/>
          <w:lang w:val="es-ES" w:eastAsia="es-ES"/>
        </w:rPr>
        <w:t xml:space="preserve">De conformidad con el artículo 139 de la Ley 5 de 1992, presento ante su despacho Proyecto de </w:t>
      </w:r>
      <w:r w:rsidR="001E4F67">
        <w:rPr>
          <w:rFonts w:ascii="Century Gothic" w:hAnsi="Century Gothic" w:cs="Arial"/>
          <w:color w:val="000000" w:themeColor="text1"/>
          <w:lang w:val="es-ES" w:eastAsia="es-ES"/>
        </w:rPr>
        <w:t>Ley</w:t>
      </w:r>
      <w:r w:rsidR="001E4F67" w:rsidRPr="00394572">
        <w:rPr>
          <w:rFonts w:ascii="Century Gothic" w:hAnsi="Century Gothic" w:cs="Arial"/>
          <w:color w:val="000000" w:themeColor="text1"/>
          <w:lang w:val="es-ES" w:eastAsia="es-ES"/>
        </w:rPr>
        <w:t xml:space="preserve"> </w:t>
      </w:r>
      <w:bookmarkStart w:id="0" w:name="_GoBack"/>
      <w:bookmarkEnd w:id="0"/>
      <w:r w:rsidR="00F41A38" w:rsidRPr="00F41A38">
        <w:rPr>
          <w:rFonts w:ascii="Century Gothic" w:hAnsi="Century Gothic" w:cs="Arial"/>
          <w:b/>
          <w:color w:val="000000" w:themeColor="text1"/>
          <w:lang w:val="es-ES" w:eastAsia="es-ES"/>
        </w:rPr>
        <w:t>“</w:t>
      </w:r>
      <w:r w:rsidR="00AF23CE">
        <w:rPr>
          <w:rFonts w:ascii="Century Gothic" w:hAnsi="Century Gothic" w:cs="Arial"/>
          <w:bCs/>
          <w:i/>
          <w:color w:val="000000" w:themeColor="text1"/>
        </w:rPr>
        <w:t>Por medio del cual se cuidan los recursos públicos de la Nación</w:t>
      </w:r>
      <w:r w:rsidR="00F41A38" w:rsidRPr="00F41A38">
        <w:rPr>
          <w:rFonts w:ascii="Century Gothic" w:hAnsi="Century Gothic"/>
          <w:bCs/>
        </w:rPr>
        <w:t>”</w:t>
      </w:r>
      <w:r w:rsidR="00F41A38">
        <w:rPr>
          <w:rFonts w:ascii="Century Gothic" w:hAnsi="Century Gothic"/>
          <w:bCs/>
        </w:rPr>
        <w:t xml:space="preserve"> </w:t>
      </w:r>
      <w:r w:rsidRPr="00730CBC">
        <w:rPr>
          <w:rFonts w:ascii="Century Gothic" w:hAnsi="Century Gothic" w:cs="Arial"/>
          <w:color w:val="000000" w:themeColor="text1"/>
          <w:lang w:val="es-ES" w:eastAsia="es-ES"/>
        </w:rPr>
        <w:t xml:space="preserve">para el trámite establecido en la Ley 5. </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 xml:space="preserve">Cordialmente, </w:t>
      </w: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color w:val="000000" w:themeColor="text1"/>
          <w:lang w:val="es-ES" w:eastAsia="es-ES"/>
        </w:rPr>
      </w:pPr>
    </w:p>
    <w:p w:rsidR="007A7EE0" w:rsidRPr="00730CBC" w:rsidRDefault="007A7EE0" w:rsidP="007A7EE0">
      <w:pPr>
        <w:jc w:val="both"/>
        <w:rPr>
          <w:rFonts w:ascii="Century Gothic" w:eastAsia="Times New Roman" w:hAnsi="Century Gothic" w:cs="Arial"/>
          <w:b/>
          <w:color w:val="000000" w:themeColor="text1"/>
          <w:lang w:val="es-ES" w:eastAsia="es-ES"/>
        </w:rPr>
      </w:pPr>
      <w:r w:rsidRPr="00730CBC">
        <w:rPr>
          <w:rFonts w:ascii="Century Gothic" w:eastAsia="Times New Roman" w:hAnsi="Century Gothic" w:cs="Arial"/>
          <w:b/>
          <w:color w:val="000000" w:themeColor="text1"/>
          <w:lang w:val="es-ES" w:eastAsia="es-ES"/>
        </w:rPr>
        <w:t xml:space="preserve">DAVID RACERO MAYORCA </w:t>
      </w:r>
    </w:p>
    <w:p w:rsidR="007A7EE0" w:rsidRPr="00730CBC" w:rsidRDefault="007A7EE0" w:rsidP="00557DD7">
      <w:pPr>
        <w:jc w:val="both"/>
        <w:rPr>
          <w:rFonts w:ascii="Century Gothic" w:eastAsia="Times New Roman" w:hAnsi="Century Gothic" w:cs="Arial"/>
          <w:color w:val="000000" w:themeColor="text1"/>
          <w:lang w:val="es-ES" w:eastAsia="es-ES"/>
        </w:rPr>
      </w:pPr>
      <w:r w:rsidRPr="00730CBC">
        <w:rPr>
          <w:rFonts w:ascii="Century Gothic" w:eastAsia="Times New Roman" w:hAnsi="Century Gothic" w:cs="Arial"/>
          <w:color w:val="000000" w:themeColor="text1"/>
          <w:lang w:val="es-ES" w:eastAsia="es-ES"/>
        </w:rPr>
        <w:t>Representante a la Cámara por Bogotá</w:t>
      </w:r>
    </w:p>
    <w:p w:rsidR="00BF0E9E" w:rsidRPr="00730CBC" w:rsidRDefault="00BF0E9E" w:rsidP="00557DD7">
      <w:pPr>
        <w:jc w:val="both"/>
        <w:rPr>
          <w:rFonts w:ascii="Century Gothic" w:eastAsia="Times New Roman" w:hAnsi="Century Gothic" w:cs="Arial"/>
          <w:color w:val="000000" w:themeColor="text1"/>
          <w:lang w:val="es-ES" w:eastAsia="es-ES"/>
        </w:rPr>
      </w:pPr>
    </w:p>
    <w:p w:rsidR="00D87EA9" w:rsidRDefault="00D87EA9" w:rsidP="00557DD7">
      <w:pPr>
        <w:jc w:val="both"/>
        <w:rPr>
          <w:rFonts w:ascii="Century Gothic" w:eastAsia="Times New Roman" w:hAnsi="Century Gothic" w:cs="Arial"/>
          <w:color w:val="000000" w:themeColor="text1"/>
          <w:lang w:val="es-ES" w:eastAsia="es-ES"/>
        </w:rPr>
      </w:pPr>
    </w:p>
    <w:p w:rsidR="00F41A38" w:rsidRDefault="00F41A38" w:rsidP="00557DD7">
      <w:pPr>
        <w:jc w:val="both"/>
        <w:rPr>
          <w:rFonts w:ascii="Century Gothic" w:eastAsia="Times New Roman" w:hAnsi="Century Gothic" w:cs="Arial"/>
          <w:color w:val="000000" w:themeColor="text1"/>
          <w:lang w:val="es-ES" w:eastAsia="es-ES"/>
        </w:rPr>
      </w:pPr>
    </w:p>
    <w:p w:rsidR="00F41A38" w:rsidRDefault="00F41A38" w:rsidP="00557DD7">
      <w:pPr>
        <w:jc w:val="both"/>
        <w:rPr>
          <w:rFonts w:ascii="Century Gothic" w:eastAsia="Times New Roman" w:hAnsi="Century Gothic" w:cs="Arial"/>
          <w:color w:val="000000" w:themeColor="text1"/>
          <w:lang w:val="es-ES" w:eastAsia="es-ES"/>
        </w:rPr>
      </w:pPr>
    </w:p>
    <w:p w:rsidR="00F41A38" w:rsidRDefault="00F41A38" w:rsidP="00557DD7">
      <w:pPr>
        <w:jc w:val="both"/>
        <w:rPr>
          <w:rFonts w:ascii="Century Gothic" w:eastAsia="Times New Roman" w:hAnsi="Century Gothic" w:cs="Arial"/>
          <w:color w:val="000000" w:themeColor="text1"/>
          <w:lang w:val="es-ES" w:eastAsia="es-ES"/>
        </w:rPr>
      </w:pPr>
    </w:p>
    <w:p w:rsidR="00245146" w:rsidRDefault="00245146" w:rsidP="00245146">
      <w:pPr>
        <w:jc w:val="center"/>
        <w:rPr>
          <w:rFonts w:ascii="Century Gothic" w:hAnsi="Century Gothic"/>
          <w:b/>
        </w:rPr>
      </w:pPr>
      <w:bookmarkStart w:id="1" w:name="7"/>
      <w:r w:rsidRPr="00A129A3">
        <w:rPr>
          <w:rFonts w:ascii="Century Gothic" w:hAnsi="Century Gothic"/>
          <w:b/>
        </w:rPr>
        <w:t>Exposición de motivos</w:t>
      </w:r>
    </w:p>
    <w:p w:rsidR="00245146" w:rsidRPr="00A129A3" w:rsidRDefault="00245146" w:rsidP="00245146">
      <w:pPr>
        <w:jc w:val="center"/>
        <w:rPr>
          <w:rFonts w:ascii="Century Gothic" w:hAnsi="Century Gothic"/>
          <w:b/>
        </w:rPr>
      </w:pPr>
    </w:p>
    <w:p w:rsidR="00245146" w:rsidRDefault="00245146" w:rsidP="00245146">
      <w:pPr>
        <w:jc w:val="both"/>
        <w:rPr>
          <w:rFonts w:ascii="Century Gothic" w:hAnsi="Century Gothic"/>
        </w:rPr>
      </w:pPr>
      <w:r>
        <w:rPr>
          <w:rFonts w:ascii="Century Gothic" w:hAnsi="Century Gothic"/>
        </w:rPr>
        <w:t xml:space="preserve">La política fiscal es un elemento transversal para la regulación y estimulación de la economía en el país. En momentos de recesión o crisis económica la política fiscal puede fomentar la demanda, el empleo y por tanto la producción y el crecimiento económico </w:t>
      </w:r>
      <w:sdt>
        <w:sdtPr>
          <w:rPr>
            <w:rFonts w:ascii="Century Gothic" w:hAnsi="Century Gothic"/>
          </w:rPr>
          <w:id w:val="471257989"/>
          <w:citation/>
        </w:sdtPr>
        <w:sdtEndPr/>
        <w:sdtContent>
          <w:r>
            <w:rPr>
              <w:rFonts w:ascii="Century Gothic" w:hAnsi="Century Gothic"/>
            </w:rPr>
            <w:fldChar w:fldCharType="begin"/>
          </w:r>
          <w:r>
            <w:rPr>
              <w:rFonts w:ascii="Century Gothic" w:hAnsi="Century Gothic"/>
            </w:rPr>
            <w:instrText xml:space="preserve"> CITATION Men18 \l 9226 </w:instrText>
          </w:r>
          <w:r>
            <w:rPr>
              <w:rFonts w:ascii="Century Gothic" w:hAnsi="Century Gothic"/>
            </w:rPr>
            <w:fldChar w:fldCharType="separate"/>
          </w:r>
          <w:r w:rsidRPr="00233B5D">
            <w:rPr>
              <w:rFonts w:ascii="Century Gothic" w:hAnsi="Century Gothic"/>
              <w:noProof/>
            </w:rPr>
            <w:t>(Mendoza, 2018)</w:t>
          </w:r>
          <w:r>
            <w:rPr>
              <w:rFonts w:ascii="Century Gothic" w:hAnsi="Century Gothic"/>
            </w:rPr>
            <w:fldChar w:fldCharType="end"/>
          </w:r>
        </w:sdtContent>
      </w:sdt>
      <w:r>
        <w:rPr>
          <w:rFonts w:ascii="Century Gothic" w:hAnsi="Century Gothic"/>
        </w:rPr>
        <w:t>.</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 xml:space="preserve">La política fiscal también podría ser un incentivo para el desarrollo de ciertas actividades productivas, para esto se pueden crear descuentos tributarios condicionados y/o subsidios a ciertos sectores de la economía. Esto implica que a través de esta política económica se puede mejorar la competitividad y productividad de un país. </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 xml:space="preserve">Pero la política fiscal no solo puede mejorar la economía a través de sus sectores productivos, también tiene la capacidad de combatir la desigualdad y la pobreza. Esto se logra a través de impuestos progresivos y de gasto </w:t>
      </w:r>
      <w:r w:rsidRPr="00153D28">
        <w:rPr>
          <w:rFonts w:ascii="Century Gothic" w:hAnsi="Century Gothic"/>
        </w:rPr>
        <w:t xml:space="preserve">público social </w:t>
      </w:r>
      <w:sdt>
        <w:sdtPr>
          <w:rPr>
            <w:rFonts w:ascii="Century Gothic" w:hAnsi="Century Gothic"/>
          </w:rPr>
          <w:id w:val="-1466035620"/>
          <w:citation/>
        </w:sdtPr>
        <w:sdtEndPr/>
        <w:sdtContent>
          <w:r>
            <w:rPr>
              <w:rFonts w:ascii="Century Gothic" w:hAnsi="Century Gothic"/>
            </w:rPr>
            <w:fldChar w:fldCharType="begin"/>
          </w:r>
          <w:r>
            <w:rPr>
              <w:rFonts w:ascii="Century Gothic" w:hAnsi="Century Gothic"/>
            </w:rPr>
            <w:instrText xml:space="preserve"> CITATION Pik14 \l 9226 </w:instrText>
          </w:r>
          <w:r>
            <w:rPr>
              <w:rFonts w:ascii="Century Gothic" w:hAnsi="Century Gothic"/>
            </w:rPr>
            <w:fldChar w:fldCharType="separate"/>
          </w:r>
          <w:r w:rsidRPr="00233B5D">
            <w:rPr>
              <w:rFonts w:ascii="Century Gothic" w:hAnsi="Century Gothic"/>
              <w:noProof/>
            </w:rPr>
            <w:t>(Piketty, 2014)</w:t>
          </w:r>
          <w:r>
            <w:rPr>
              <w:rFonts w:ascii="Century Gothic" w:hAnsi="Century Gothic"/>
            </w:rPr>
            <w:fldChar w:fldCharType="end"/>
          </w:r>
        </w:sdtContent>
      </w:sdt>
      <w:r>
        <w:rPr>
          <w:rFonts w:ascii="Century Gothic" w:hAnsi="Century Gothic"/>
        </w:rPr>
        <w:t>.</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A pesar de los elementos anteriormente mencionados, la política fiscal podría generar inflación y desbalances en la cuenta corriente</w:t>
      </w:r>
      <w:r>
        <w:rPr>
          <w:rStyle w:val="Refdenotaalpie"/>
          <w:rFonts w:ascii="Century Gothic" w:hAnsi="Century Gothic"/>
        </w:rPr>
        <w:footnoteReference w:id="1"/>
      </w:r>
      <w:r>
        <w:rPr>
          <w:rFonts w:ascii="Century Gothic" w:hAnsi="Century Gothic"/>
        </w:rPr>
        <w:t xml:space="preserve"> </w:t>
      </w:r>
      <w:sdt>
        <w:sdtPr>
          <w:rPr>
            <w:rFonts w:ascii="Century Gothic" w:hAnsi="Century Gothic"/>
          </w:rPr>
          <w:id w:val="-942840547"/>
          <w:citation/>
        </w:sdtPr>
        <w:sdtEndPr/>
        <w:sdtContent>
          <w:r>
            <w:rPr>
              <w:rFonts w:ascii="Century Gothic" w:hAnsi="Century Gothic"/>
            </w:rPr>
            <w:fldChar w:fldCharType="begin"/>
          </w:r>
          <w:r>
            <w:rPr>
              <w:rFonts w:ascii="Century Gothic" w:hAnsi="Century Gothic"/>
            </w:rPr>
            <w:instrText xml:space="preserve"> CITATION Dan06 \l 9226 </w:instrText>
          </w:r>
          <w:r>
            <w:rPr>
              <w:rFonts w:ascii="Century Gothic" w:hAnsi="Century Gothic"/>
            </w:rPr>
            <w:fldChar w:fldCharType="separate"/>
          </w:r>
          <w:r w:rsidRPr="00233B5D">
            <w:rPr>
              <w:rFonts w:ascii="Century Gothic" w:hAnsi="Century Gothic"/>
              <w:noProof/>
            </w:rPr>
            <w:t>(Daniel, Davis, Fouad , &amp; Van Rijckeghem, 2006)</w:t>
          </w:r>
          <w:r>
            <w:rPr>
              <w:rFonts w:ascii="Century Gothic" w:hAnsi="Century Gothic"/>
            </w:rPr>
            <w:fldChar w:fldCharType="end"/>
          </w:r>
        </w:sdtContent>
      </w:sdt>
      <w:r>
        <w:rPr>
          <w:rFonts w:ascii="Century Gothic" w:hAnsi="Century Gothic"/>
        </w:rPr>
        <w:t>. Dadas estas limitaciones se creó en Colombia la ley 1819 de 2003 con la cual se buscaba garantizar una política fiscal responsable para el país. En el artículo 7 de esta ley se establece que cualquier proyecto de ley, ordenanza o acuerdo que implique gasto o genere algún beneficio tributario deberá contar con el concepto del Ministerio de Hacienda y Crédito Público o quien haga sus veces. Se establece además que el Ministerio podrá rendir este concepto en cualquier momento del trámite del proyecto de ley, ordenanza o acuerdo. Esta medida garantiza dos elementos; primero, q</w:t>
      </w:r>
      <w:r w:rsidRPr="001B03F7">
        <w:rPr>
          <w:rFonts w:ascii="Century Gothic" w:hAnsi="Century Gothic"/>
        </w:rPr>
        <w:t xml:space="preserve">ue la política fiscal sea dirigida por el Gobierno </w:t>
      </w:r>
      <w:r>
        <w:rPr>
          <w:rFonts w:ascii="Century Gothic" w:hAnsi="Century Gothic"/>
        </w:rPr>
        <w:t xml:space="preserve">y segundo, que exista una responsabilidad sobre las finanzas del Estado. </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 xml:space="preserve">El concepto del Ministerio de Hacienda y Crédito Público es muy importante en este tipo de proyectos toda vez que esta entidad tiene toda la capacidad técnica para analizar los impactos fiscales de los proyectos de ley, ordenanza o acuerdo. Según la sentencia C-502-07 de la honorable Corte Constitucional el Ministerio de Hacienda y Crédito Público cuenta con los datos, los equipos de funcionarios y la experticia para analizar el impacto fiscal de estos proyectos, es por esto, que esta entidad es la encargada de dar la información técnica necesaria para garantizar la toma de decisiones racionales en materia legislativa. </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 xml:space="preserve">Lamentablemente este concepto se puede entregar en cualquier momento del trámite de un proyecto, ordenanza, o acuerdo. Esto implica que en muchas ocasiones la negación o aprobación de estos proyectos se hacen sin la suficiente información ni con el sustento técnico adecuado. </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Varios de los proyectos de ley aprobados en el período legislativo 2018-2019 en la Cámara de Representantes</w:t>
      </w:r>
      <w:r>
        <w:rPr>
          <w:rStyle w:val="Refdenotaalpie"/>
          <w:rFonts w:ascii="Century Gothic" w:hAnsi="Century Gothic"/>
        </w:rPr>
        <w:footnoteReference w:id="2"/>
      </w:r>
      <w:r>
        <w:rPr>
          <w:rFonts w:ascii="Century Gothic" w:hAnsi="Century Gothic"/>
        </w:rPr>
        <w:t xml:space="preserve"> tienen impacto fiscal y no contaban con concepto del Ministerio de Hacienda y Crédito Público. La ausencia de este concepto se explica porque la ley permite que el informe técnico se rinda en cualquier momento del trámite legislativo. Por esta razón, y con el objeto de fortalecer la responsabilidad fiscal, se busca modificar el artículo 7 de la ley 2003 garantizando que el concepto del Ministerio de Hacienda y Crédito Pública deba rendirse en el primer debate, estableciendo además unos parámetros mínimos para dicho concepto. A su vez, se modifica la ley de acuerdo a la sugerencia de la sentencia C-502/07 en donde se establece que la omisión de responsabilidades por parte del Ministerio de Hacienda y Crédito Público en esta materia no será </w:t>
      </w:r>
      <w:proofErr w:type="gramStart"/>
      <w:r>
        <w:rPr>
          <w:rFonts w:ascii="Century Gothic" w:hAnsi="Century Gothic"/>
        </w:rPr>
        <w:t>considerado</w:t>
      </w:r>
      <w:proofErr w:type="gramEnd"/>
      <w:r>
        <w:rPr>
          <w:rFonts w:ascii="Century Gothic" w:hAnsi="Century Gothic"/>
        </w:rPr>
        <w:t xml:space="preserve"> un vicio de trámite. </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t xml:space="preserve">Con estos cambios se busca fortalecer la racionalidad legislativa buscando tomar decisiones informadas en sustentos técnicos pertinentes. </w:t>
      </w:r>
    </w:p>
    <w:p w:rsidR="00245146" w:rsidRDefault="00245146" w:rsidP="00245146">
      <w:pPr>
        <w:jc w:val="both"/>
        <w:rPr>
          <w:rFonts w:ascii="Century Gothic" w:hAnsi="Century Gothic"/>
          <w:b/>
        </w:rPr>
      </w:pPr>
    </w:p>
    <w:p w:rsidR="00245146" w:rsidRDefault="00245146" w:rsidP="00245146">
      <w:pPr>
        <w:jc w:val="both"/>
        <w:rPr>
          <w:rFonts w:ascii="Century Gothic" w:hAnsi="Century Gothic"/>
          <w:b/>
        </w:rPr>
      </w:pPr>
      <w:r>
        <w:rPr>
          <w:rFonts w:ascii="Century Gothic" w:hAnsi="Century Gothic"/>
          <w:b/>
        </w:rPr>
        <w:t>Aspectos legales</w:t>
      </w:r>
    </w:p>
    <w:p w:rsidR="00245146" w:rsidRDefault="00245146" w:rsidP="00245146">
      <w:pPr>
        <w:jc w:val="both"/>
        <w:rPr>
          <w:rFonts w:ascii="Century Gothic" w:hAnsi="Century Gothic"/>
        </w:rPr>
      </w:pPr>
    </w:p>
    <w:p w:rsidR="00245146" w:rsidRDefault="00245146" w:rsidP="00245146">
      <w:pPr>
        <w:jc w:val="both"/>
        <w:rPr>
          <w:rFonts w:ascii="Century Gothic" w:hAnsi="Century Gothic"/>
        </w:rPr>
      </w:pPr>
      <w:r>
        <w:rPr>
          <w:rFonts w:ascii="Century Gothic" w:hAnsi="Century Gothic"/>
        </w:rPr>
        <w:lastRenderedPageBreak/>
        <w:t xml:space="preserve">Para la modificación de esta ley no se necesita aprobación del Ministerio de Hacienda y Crédito Público ni debe ser de iniciativa gubernamental, esto en base al artículo 154 de la Constitución Política. </w:t>
      </w:r>
    </w:p>
    <w:p w:rsidR="00245146" w:rsidRDefault="00245146" w:rsidP="00245146">
      <w:pPr>
        <w:jc w:val="both"/>
        <w:rPr>
          <w:rFonts w:ascii="Century Gothic" w:hAnsi="Century Gothic"/>
        </w:rPr>
      </w:pPr>
    </w:p>
    <w:sdt>
      <w:sdtPr>
        <w:rPr>
          <w:rFonts w:asciiTheme="minorHAnsi" w:eastAsiaTheme="minorHAnsi" w:hAnsiTheme="minorHAnsi" w:cstheme="minorBidi"/>
          <w:color w:val="auto"/>
          <w:sz w:val="22"/>
          <w:szCs w:val="22"/>
          <w:lang w:val="es-ES" w:eastAsia="en-US"/>
        </w:rPr>
        <w:id w:val="-757978154"/>
        <w:docPartObj>
          <w:docPartGallery w:val="Bibliographies"/>
          <w:docPartUnique/>
        </w:docPartObj>
      </w:sdtPr>
      <w:sdtEndPr>
        <w:rPr>
          <w:sz w:val="24"/>
          <w:szCs w:val="24"/>
          <w:lang w:val="es-ES_tradnl"/>
        </w:rPr>
      </w:sdtEndPr>
      <w:sdtContent>
        <w:p w:rsidR="00245146" w:rsidRDefault="00245146" w:rsidP="00245146">
          <w:pPr>
            <w:pStyle w:val="Ttulo1"/>
            <w:jc w:val="center"/>
            <w:rPr>
              <w:rFonts w:ascii="Century Gothic" w:hAnsi="Century Gothic"/>
              <w:b/>
              <w:color w:val="000000" w:themeColor="text1"/>
              <w:sz w:val="24"/>
              <w:szCs w:val="24"/>
              <w:lang w:val="es-ES"/>
            </w:rPr>
          </w:pPr>
          <w:r w:rsidRPr="00E64253">
            <w:rPr>
              <w:rFonts w:ascii="Century Gothic" w:hAnsi="Century Gothic"/>
              <w:b/>
              <w:color w:val="000000" w:themeColor="text1"/>
              <w:sz w:val="24"/>
              <w:szCs w:val="24"/>
              <w:lang w:val="es-ES"/>
            </w:rPr>
            <w:t>Bibliografía</w:t>
          </w:r>
        </w:p>
        <w:p w:rsidR="00245146" w:rsidRPr="00E64253" w:rsidRDefault="00245146" w:rsidP="00245146">
          <w:pPr>
            <w:rPr>
              <w:lang w:val="es-ES" w:eastAsia="es-CO"/>
            </w:rPr>
          </w:pPr>
        </w:p>
        <w:sdt>
          <w:sdtPr>
            <w:rPr>
              <w:rFonts w:ascii="Century Gothic" w:hAnsi="Century Gothic"/>
              <w:sz w:val="24"/>
              <w:szCs w:val="24"/>
              <w:lang w:val="es-ES_tradnl"/>
            </w:rPr>
            <w:id w:val="111145805"/>
            <w:bibliography/>
          </w:sdtPr>
          <w:sdtEndPr>
            <w:rPr>
              <w:rFonts w:asciiTheme="minorHAnsi" w:hAnsiTheme="minorHAnsi"/>
            </w:rPr>
          </w:sdtEndPr>
          <w:sdtContent>
            <w:p w:rsidR="00245146" w:rsidRPr="00233B5D" w:rsidRDefault="00245146" w:rsidP="00245146">
              <w:pPr>
                <w:pStyle w:val="Bibliografa"/>
                <w:ind w:left="720" w:hanging="720"/>
                <w:rPr>
                  <w:rFonts w:ascii="Century Gothic" w:hAnsi="Century Gothic"/>
                  <w:noProof/>
                  <w:sz w:val="24"/>
                  <w:szCs w:val="24"/>
                  <w:lang w:val="es-ES"/>
                </w:rPr>
              </w:pPr>
              <w:r w:rsidRPr="00E64253">
                <w:rPr>
                  <w:rFonts w:ascii="Century Gothic" w:hAnsi="Century Gothic"/>
                  <w:sz w:val="24"/>
                  <w:szCs w:val="24"/>
                </w:rPr>
                <w:fldChar w:fldCharType="begin"/>
              </w:r>
              <w:r w:rsidRPr="00E64253">
                <w:rPr>
                  <w:rFonts w:ascii="Century Gothic" w:hAnsi="Century Gothic"/>
                  <w:sz w:val="24"/>
                  <w:szCs w:val="24"/>
                </w:rPr>
                <w:instrText>BIBLIOGRAPHY</w:instrText>
              </w:r>
              <w:r w:rsidRPr="00E64253">
                <w:rPr>
                  <w:rFonts w:ascii="Century Gothic" w:hAnsi="Century Gothic"/>
                  <w:sz w:val="24"/>
                  <w:szCs w:val="24"/>
                </w:rPr>
                <w:fldChar w:fldCharType="separate"/>
              </w:r>
              <w:r w:rsidRPr="00233B5D">
                <w:rPr>
                  <w:rFonts w:ascii="Century Gothic" w:hAnsi="Century Gothic"/>
                  <w:noProof/>
                  <w:lang w:val="es-ES"/>
                </w:rPr>
                <w:t xml:space="preserve">Daniel, J., Davis, J., Fouad , M., &amp; Van Rijckeghem, C. (2006). </w:t>
              </w:r>
              <w:r w:rsidRPr="00233B5D">
                <w:rPr>
                  <w:rFonts w:ascii="Century Gothic" w:hAnsi="Century Gothic"/>
                  <w:i/>
                  <w:iCs/>
                  <w:noProof/>
                  <w:lang w:val="es-ES"/>
                </w:rPr>
                <w:t>Ajuste fiscal para la estabilidad y el crecimiento.</w:t>
              </w:r>
              <w:r w:rsidRPr="00233B5D">
                <w:rPr>
                  <w:rFonts w:ascii="Century Gothic" w:hAnsi="Century Gothic"/>
                  <w:noProof/>
                  <w:lang w:val="es-ES"/>
                </w:rPr>
                <w:t xml:space="preserve"> Washington: FMI.</w:t>
              </w:r>
            </w:p>
            <w:p w:rsidR="00245146" w:rsidRPr="00233B5D" w:rsidRDefault="00245146" w:rsidP="00245146">
              <w:pPr>
                <w:pStyle w:val="Bibliografa"/>
                <w:ind w:left="720" w:hanging="720"/>
                <w:rPr>
                  <w:rFonts w:ascii="Century Gothic" w:hAnsi="Century Gothic"/>
                  <w:noProof/>
                  <w:lang w:val="es-ES"/>
                </w:rPr>
              </w:pPr>
              <w:r w:rsidRPr="00233B5D">
                <w:rPr>
                  <w:rFonts w:ascii="Century Gothic" w:hAnsi="Century Gothic"/>
                  <w:noProof/>
                  <w:lang w:val="es-ES"/>
                </w:rPr>
                <w:t>LEY ESTATUTARIA SOBRE ELECCION PARLAMENTARIOS ANDINOS-Trámite legislativo, Sentencia C-502/07 (Corte Constitucional).</w:t>
              </w:r>
            </w:p>
            <w:p w:rsidR="00245146" w:rsidRPr="00233B5D" w:rsidRDefault="00245146" w:rsidP="00245146">
              <w:pPr>
                <w:pStyle w:val="Bibliografa"/>
                <w:ind w:left="720" w:hanging="720"/>
                <w:rPr>
                  <w:rFonts w:ascii="Century Gothic" w:hAnsi="Century Gothic"/>
                  <w:noProof/>
                  <w:lang w:val="es-ES"/>
                </w:rPr>
              </w:pPr>
              <w:r w:rsidRPr="00233B5D">
                <w:rPr>
                  <w:rFonts w:ascii="Century Gothic" w:hAnsi="Century Gothic"/>
                  <w:noProof/>
                  <w:lang w:val="es-ES"/>
                </w:rPr>
                <w:t xml:space="preserve">Mendoza, E. (2018). Dinero, política fiscal y estabilidad: ¿Es necesario el déficit fiscal? </w:t>
              </w:r>
              <w:r w:rsidRPr="00233B5D">
                <w:rPr>
                  <w:rFonts w:ascii="Century Gothic" w:hAnsi="Century Gothic"/>
                  <w:i/>
                  <w:iCs/>
                  <w:noProof/>
                  <w:lang w:val="es-ES"/>
                </w:rPr>
                <w:t>Análisis</w:t>
              </w:r>
              <w:r w:rsidRPr="00233B5D">
                <w:rPr>
                  <w:rFonts w:ascii="Century Gothic" w:hAnsi="Century Gothic"/>
                  <w:noProof/>
                  <w:lang w:val="es-ES"/>
                </w:rPr>
                <w:t>, 78-103.</w:t>
              </w:r>
            </w:p>
            <w:p w:rsidR="00245146" w:rsidRDefault="00245146" w:rsidP="00245146">
              <w:pPr>
                <w:pStyle w:val="Bibliografa"/>
                <w:ind w:left="720" w:hanging="720"/>
                <w:rPr>
                  <w:noProof/>
                  <w:lang w:val="es-ES"/>
                </w:rPr>
              </w:pPr>
              <w:r w:rsidRPr="00233B5D">
                <w:rPr>
                  <w:rFonts w:ascii="Century Gothic" w:hAnsi="Century Gothic"/>
                  <w:noProof/>
                  <w:lang w:val="es-ES"/>
                </w:rPr>
                <w:t xml:space="preserve">Piketty, T. (2014). </w:t>
              </w:r>
              <w:r w:rsidRPr="00233B5D">
                <w:rPr>
                  <w:rFonts w:ascii="Century Gothic" w:hAnsi="Century Gothic"/>
                  <w:i/>
                  <w:iCs/>
                  <w:noProof/>
                  <w:lang w:val="es-ES"/>
                </w:rPr>
                <w:t>El Capital del Siglo XXI.</w:t>
              </w:r>
              <w:r w:rsidRPr="00233B5D">
                <w:rPr>
                  <w:rFonts w:ascii="Century Gothic" w:hAnsi="Century Gothic"/>
                  <w:noProof/>
                  <w:lang w:val="es-ES"/>
                </w:rPr>
                <w:t xml:space="preserve"> Ciudad de Mexico: Fondo de Cultura Económica</w:t>
              </w:r>
              <w:r>
                <w:rPr>
                  <w:noProof/>
                  <w:lang w:val="es-ES"/>
                </w:rPr>
                <w:t>.</w:t>
              </w:r>
            </w:p>
            <w:p w:rsidR="00245146" w:rsidRDefault="00245146" w:rsidP="00245146">
              <w:r w:rsidRPr="00E64253">
                <w:rPr>
                  <w:rFonts w:ascii="Century Gothic" w:hAnsi="Century Gothic"/>
                  <w:b/>
                  <w:bCs/>
                </w:rPr>
                <w:fldChar w:fldCharType="end"/>
              </w:r>
            </w:p>
          </w:sdtContent>
        </w:sdt>
      </w:sdtContent>
    </w:sdt>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eastAsiaTheme="minorHAnsi" w:hAnsi="Century Gothic" w:cstheme="minorBidi"/>
          <w:lang w:eastAsia="en-US"/>
        </w:rPr>
      </w:pPr>
    </w:p>
    <w:p w:rsidR="00245146" w:rsidRDefault="00245146" w:rsidP="00245146">
      <w:pPr>
        <w:pStyle w:val="NormalWeb"/>
        <w:spacing w:line="270" w:lineRule="atLeast"/>
        <w:rPr>
          <w:rFonts w:ascii="Century Gothic" w:eastAsiaTheme="minorHAnsi" w:hAnsi="Century Gothic" w:cstheme="minorBidi"/>
          <w:lang w:eastAsia="en-US"/>
        </w:rPr>
      </w:pPr>
    </w:p>
    <w:p w:rsidR="00E50276" w:rsidRDefault="00E50276" w:rsidP="00245146">
      <w:pPr>
        <w:pStyle w:val="NormalWeb"/>
        <w:spacing w:line="270" w:lineRule="atLeast"/>
        <w:rPr>
          <w:rFonts w:ascii="Century Gothic" w:eastAsiaTheme="minorHAnsi" w:hAnsi="Century Gothic" w:cstheme="minorBidi"/>
          <w:lang w:eastAsia="en-US"/>
        </w:rPr>
      </w:pPr>
    </w:p>
    <w:p w:rsidR="00E50276" w:rsidRDefault="00E50276" w:rsidP="00245146">
      <w:pPr>
        <w:pStyle w:val="NormalWeb"/>
        <w:spacing w:line="270" w:lineRule="atLeast"/>
        <w:rPr>
          <w:rFonts w:ascii="Century Gothic" w:eastAsiaTheme="minorHAnsi" w:hAnsi="Century Gothic" w:cstheme="minorBidi"/>
          <w:lang w:eastAsia="en-US"/>
        </w:rPr>
      </w:pPr>
    </w:p>
    <w:p w:rsidR="00245146" w:rsidRDefault="00245146" w:rsidP="00245146">
      <w:pPr>
        <w:pStyle w:val="NormalWeb"/>
        <w:spacing w:line="270" w:lineRule="atLeast"/>
        <w:jc w:val="center"/>
        <w:rPr>
          <w:rFonts w:ascii="Century Gothic" w:hAnsi="Century Gothic" w:cs="Arial"/>
          <w:b/>
          <w:bCs/>
          <w:color w:val="000000" w:themeColor="text1"/>
        </w:rPr>
      </w:pPr>
      <w:r>
        <w:rPr>
          <w:rFonts w:ascii="Century Gothic" w:hAnsi="Century Gothic" w:cs="Arial"/>
          <w:b/>
          <w:bCs/>
          <w:color w:val="000000" w:themeColor="text1"/>
        </w:rPr>
        <w:t xml:space="preserve">Proyecto de ley ______de 2019 </w:t>
      </w:r>
    </w:p>
    <w:p w:rsidR="00245146" w:rsidRDefault="00245146" w:rsidP="00245146">
      <w:pPr>
        <w:pStyle w:val="NormalWeb"/>
        <w:spacing w:line="270" w:lineRule="atLeast"/>
        <w:jc w:val="center"/>
        <w:rPr>
          <w:rFonts w:ascii="Century Gothic" w:hAnsi="Century Gothic" w:cs="Arial"/>
          <w:bCs/>
          <w:i/>
          <w:color w:val="000000" w:themeColor="text1"/>
        </w:rPr>
      </w:pPr>
      <w:r>
        <w:rPr>
          <w:rFonts w:ascii="Century Gothic" w:hAnsi="Century Gothic" w:cs="Arial"/>
          <w:bCs/>
          <w:i/>
          <w:color w:val="000000" w:themeColor="text1"/>
        </w:rPr>
        <w:t xml:space="preserve">Por </w:t>
      </w:r>
      <w:r w:rsidR="00E50276">
        <w:rPr>
          <w:rFonts w:ascii="Century Gothic" w:hAnsi="Century Gothic" w:cs="Arial"/>
          <w:bCs/>
          <w:i/>
          <w:color w:val="000000" w:themeColor="text1"/>
        </w:rPr>
        <w:t>medio del cual se cuidan los recursos públicos de la Nación</w:t>
      </w:r>
    </w:p>
    <w:p w:rsidR="00245146" w:rsidRDefault="00245146" w:rsidP="00245146">
      <w:pPr>
        <w:pStyle w:val="NormalWeb"/>
        <w:spacing w:line="270" w:lineRule="atLeast"/>
        <w:jc w:val="center"/>
        <w:rPr>
          <w:rFonts w:ascii="Century Gothic" w:hAnsi="Century Gothic" w:cs="Arial"/>
          <w:bCs/>
          <w:color w:val="000000" w:themeColor="text1"/>
        </w:rPr>
      </w:pPr>
      <w:r>
        <w:rPr>
          <w:rFonts w:ascii="Century Gothic" w:hAnsi="Century Gothic" w:cs="Arial"/>
          <w:bCs/>
          <w:color w:val="000000" w:themeColor="text1"/>
        </w:rPr>
        <w:t>El Congreso de Colombia</w:t>
      </w:r>
    </w:p>
    <w:p w:rsidR="00245146" w:rsidRPr="00953256" w:rsidRDefault="00245146" w:rsidP="00245146">
      <w:pPr>
        <w:pStyle w:val="NormalWeb"/>
        <w:spacing w:line="270" w:lineRule="atLeast"/>
        <w:jc w:val="center"/>
        <w:rPr>
          <w:rFonts w:ascii="Century Gothic" w:hAnsi="Century Gothic" w:cs="Arial"/>
          <w:bCs/>
          <w:color w:val="000000" w:themeColor="text1"/>
        </w:rPr>
      </w:pPr>
      <w:r>
        <w:rPr>
          <w:rFonts w:ascii="Century Gothic" w:hAnsi="Century Gothic" w:cs="Arial"/>
          <w:bCs/>
          <w:color w:val="000000" w:themeColor="text1"/>
        </w:rPr>
        <w:t>Decreta</w:t>
      </w:r>
    </w:p>
    <w:p w:rsidR="00245146" w:rsidRDefault="00245146" w:rsidP="00245146">
      <w:pPr>
        <w:pStyle w:val="NormalWeb"/>
        <w:spacing w:line="270" w:lineRule="atLeast"/>
        <w:jc w:val="both"/>
        <w:rPr>
          <w:rFonts w:ascii="Century Gothic" w:hAnsi="Century Gothic" w:cs="Arial"/>
          <w:bCs/>
          <w:color w:val="000000" w:themeColor="text1"/>
        </w:rPr>
      </w:pPr>
      <w:r>
        <w:rPr>
          <w:rFonts w:ascii="Century Gothic" w:hAnsi="Century Gothic" w:cs="Arial"/>
          <w:b/>
          <w:bCs/>
          <w:color w:val="000000" w:themeColor="text1"/>
        </w:rPr>
        <w:t xml:space="preserve">Artículo 1. </w:t>
      </w:r>
      <w:r w:rsidRPr="00545B8B">
        <w:rPr>
          <w:rFonts w:ascii="Century Gothic" w:hAnsi="Century Gothic" w:cs="Arial"/>
          <w:b/>
          <w:bCs/>
          <w:color w:val="000000" w:themeColor="text1"/>
        </w:rPr>
        <w:t>Objeto.</w:t>
      </w:r>
      <w:r>
        <w:rPr>
          <w:rFonts w:ascii="Century Gothic" w:hAnsi="Century Gothic" w:cs="Arial"/>
          <w:bCs/>
          <w:color w:val="000000" w:themeColor="text1"/>
        </w:rPr>
        <w:t xml:space="preserve"> El siguiente proyecto de ley tiene como objeto limitar el tiempo en el cual el Ministerio de Hacienda y Crédito Público debe rendir informe sobre los proyectos de ley que tengan impacto fiscal. </w:t>
      </w:r>
    </w:p>
    <w:p w:rsidR="00245146" w:rsidRPr="00545B8B" w:rsidRDefault="00245146" w:rsidP="00245146">
      <w:pPr>
        <w:pStyle w:val="NormalWeb"/>
        <w:spacing w:line="270" w:lineRule="atLeast"/>
        <w:jc w:val="both"/>
        <w:rPr>
          <w:rFonts w:ascii="Century Gothic" w:hAnsi="Century Gothic" w:cs="Arial"/>
          <w:bCs/>
          <w:color w:val="000000" w:themeColor="text1"/>
        </w:rPr>
      </w:pPr>
      <w:r>
        <w:rPr>
          <w:rFonts w:ascii="Century Gothic" w:hAnsi="Century Gothic" w:cs="Arial"/>
          <w:bCs/>
          <w:color w:val="000000" w:themeColor="text1"/>
        </w:rPr>
        <w:t xml:space="preserve"> </w:t>
      </w:r>
      <w:r>
        <w:rPr>
          <w:rFonts w:ascii="Century Gothic" w:hAnsi="Century Gothic" w:cs="Arial"/>
          <w:b/>
          <w:bCs/>
          <w:color w:val="000000" w:themeColor="text1"/>
        </w:rPr>
        <w:t>Artículo 2. Limitación tiempo para rendir informe de impacto fiscal</w:t>
      </w:r>
      <w:r w:rsidRPr="00545B8B">
        <w:rPr>
          <w:rFonts w:ascii="Century Gothic" w:hAnsi="Century Gothic" w:cs="Arial"/>
          <w:b/>
          <w:bCs/>
          <w:color w:val="000000" w:themeColor="text1"/>
        </w:rPr>
        <w:t>.</w:t>
      </w:r>
      <w:r>
        <w:rPr>
          <w:rFonts w:ascii="Century Gothic" w:hAnsi="Century Gothic" w:cs="Arial"/>
          <w:b/>
          <w:bCs/>
          <w:color w:val="000000" w:themeColor="text1"/>
        </w:rPr>
        <w:t xml:space="preserve"> </w:t>
      </w:r>
      <w:r>
        <w:rPr>
          <w:rFonts w:ascii="Century Gothic" w:hAnsi="Century Gothic" w:cs="Arial"/>
          <w:bCs/>
          <w:color w:val="000000" w:themeColor="text1"/>
        </w:rPr>
        <w:t>Modifíquese el artículo 7 de la ley 819 de 2003 el cual quedará así:</w:t>
      </w:r>
    </w:p>
    <w:p w:rsidR="00245146" w:rsidRPr="00B525C1" w:rsidRDefault="00245146" w:rsidP="00245146">
      <w:pPr>
        <w:pStyle w:val="NormalWeb"/>
        <w:spacing w:line="270" w:lineRule="atLeast"/>
        <w:jc w:val="both"/>
        <w:rPr>
          <w:rFonts w:ascii="Century Gothic" w:hAnsi="Century Gothic" w:cs="Arial"/>
          <w:color w:val="000000" w:themeColor="text1"/>
        </w:rPr>
      </w:pPr>
      <w:r>
        <w:rPr>
          <w:rFonts w:ascii="Century Gothic" w:hAnsi="Century Gothic" w:cs="Arial"/>
          <w:b/>
          <w:bCs/>
          <w:color w:val="000000" w:themeColor="text1"/>
        </w:rPr>
        <w:t>“</w:t>
      </w:r>
      <w:r w:rsidRPr="00B525C1">
        <w:rPr>
          <w:rFonts w:ascii="Century Gothic" w:hAnsi="Century Gothic" w:cs="Arial"/>
          <w:b/>
          <w:bCs/>
          <w:color w:val="000000" w:themeColor="text1"/>
        </w:rPr>
        <w:t>ARTÍCULO 7o. ANÁLISIS DEL IMPACTO FISCAL DE LAS NORMAS.</w:t>
      </w:r>
      <w:bookmarkEnd w:id="1"/>
      <w:r w:rsidRPr="00B525C1">
        <w:rPr>
          <w:rFonts w:ascii="Century Gothic" w:hAnsi="Century Gothic" w:cs="Arial"/>
          <w:color w:val="000000" w:themeColor="text1"/>
        </w:rPr>
        <w:t> El impacto fiscal de cualquier proyecto de ley, ordenanza o acuerdo, que ordene gasto o que otorgue beneficios tributarios, deberá hacerse explícito y deberá ser compatible con el Marco Fiscal de Mediano Plazo.</w:t>
      </w:r>
    </w:p>
    <w:p w:rsidR="00245146" w:rsidRPr="00B525C1" w:rsidRDefault="00245146" w:rsidP="00245146">
      <w:pPr>
        <w:pStyle w:val="NormalWeb"/>
        <w:spacing w:line="270" w:lineRule="atLeast"/>
        <w:jc w:val="both"/>
        <w:rPr>
          <w:rFonts w:ascii="Century Gothic" w:hAnsi="Century Gothic" w:cs="Arial"/>
          <w:color w:val="000000" w:themeColor="text1"/>
        </w:rPr>
      </w:pPr>
      <w:r w:rsidRPr="00B525C1">
        <w:rPr>
          <w:rFonts w:ascii="Century Gothic" w:hAnsi="Century Gothic" w:cs="Arial"/>
          <w:color w:val="000000" w:themeColor="text1"/>
        </w:rPr>
        <w:t>Para estos propósitos, deberá incluirse expresamente en la exposición de motivos y en las ponencias de trámite respectivas los costos fiscales de la iniciativa y la fuente de ingreso adicional generada para el financiamiento de dicho costo.</w:t>
      </w:r>
    </w:p>
    <w:p w:rsidR="00245146" w:rsidRPr="00B525C1" w:rsidRDefault="00245146" w:rsidP="00245146">
      <w:pPr>
        <w:pStyle w:val="NormalWeb"/>
        <w:spacing w:line="270" w:lineRule="atLeast"/>
        <w:jc w:val="both"/>
        <w:rPr>
          <w:rFonts w:ascii="Century Gothic" w:hAnsi="Century Gothic" w:cs="Arial"/>
          <w:color w:val="000000" w:themeColor="text1"/>
        </w:rPr>
      </w:pPr>
      <w:r w:rsidRPr="00B525C1">
        <w:rPr>
          <w:rFonts w:ascii="Century Gothic" w:hAnsi="Century Gothic" w:cs="Arial"/>
          <w:color w:val="000000" w:themeColor="text1"/>
        </w:rPr>
        <w:t>El Ministerio de Hacienda y Crédito Público deberá rendir su concepto frente a la consistencia de lo dispuesto en el inciso anterior. En ningún caso este concepto podrá ir en contravía del Marco Fiscal de Mediano Plazo. Este informe será publicado en la Gaceta del Congreso.</w:t>
      </w:r>
    </w:p>
    <w:p w:rsidR="00245146" w:rsidRPr="00B525C1" w:rsidRDefault="00245146" w:rsidP="00245146">
      <w:pPr>
        <w:pStyle w:val="NormalWeb"/>
        <w:spacing w:line="270" w:lineRule="atLeast"/>
        <w:jc w:val="both"/>
        <w:rPr>
          <w:rFonts w:ascii="Century Gothic" w:hAnsi="Century Gothic" w:cs="Arial"/>
          <w:color w:val="000000" w:themeColor="text1"/>
        </w:rPr>
      </w:pPr>
      <w:r w:rsidRPr="00B525C1">
        <w:rPr>
          <w:rFonts w:ascii="Century Gothic" w:hAnsi="Century Gothic" w:cs="Arial"/>
          <w:color w:val="000000" w:themeColor="text1"/>
        </w:rPr>
        <w:t xml:space="preserve">Los proyectos de ley de iniciativa gubernamental, que planteen un gasto adicional o una reducción de ingresos, deberá contener la correspondiente fuente sustitutiva por disminución de gasto o aumentos de ingresos, lo cual </w:t>
      </w:r>
      <w:r w:rsidRPr="00B525C1">
        <w:rPr>
          <w:rFonts w:ascii="Century Gothic" w:hAnsi="Century Gothic" w:cs="Arial"/>
          <w:color w:val="000000" w:themeColor="text1"/>
        </w:rPr>
        <w:lastRenderedPageBreak/>
        <w:t>deberá ser analizado y aprobado por el Ministerio de Hacienda y Crédito Público.</w:t>
      </w:r>
    </w:p>
    <w:p w:rsidR="00245146" w:rsidRPr="00B525C1" w:rsidRDefault="00245146" w:rsidP="00245146">
      <w:pPr>
        <w:pStyle w:val="NormalWeb"/>
        <w:spacing w:line="270" w:lineRule="atLeast"/>
        <w:jc w:val="both"/>
        <w:rPr>
          <w:rFonts w:ascii="Century Gothic" w:hAnsi="Century Gothic" w:cs="Arial"/>
          <w:color w:val="000000" w:themeColor="text1"/>
        </w:rPr>
      </w:pPr>
      <w:r w:rsidRPr="00B525C1">
        <w:rPr>
          <w:rFonts w:ascii="Century Gothic" w:hAnsi="Century Gothic" w:cs="Arial"/>
          <w:color w:val="000000" w:themeColor="text1"/>
        </w:rPr>
        <w:t>En las entidades territoriales, el trámite previsto en el inciso anterior será surtido ante la respectiva Secretaría de Hacienda o quien haga sus veces.</w:t>
      </w:r>
    </w:p>
    <w:p w:rsidR="00E50276" w:rsidRPr="00E50276" w:rsidRDefault="00245146" w:rsidP="00245146">
      <w:pPr>
        <w:jc w:val="both"/>
        <w:rPr>
          <w:rFonts w:ascii="Century Gothic" w:hAnsi="Century Gothic"/>
          <w:color w:val="000000" w:themeColor="text1"/>
        </w:rPr>
      </w:pPr>
      <w:r w:rsidRPr="00B525C1">
        <w:rPr>
          <w:rFonts w:ascii="Century Gothic" w:hAnsi="Century Gothic"/>
          <w:b/>
          <w:color w:val="000000" w:themeColor="text1"/>
        </w:rPr>
        <w:t xml:space="preserve">Parágrafo 1. </w:t>
      </w:r>
      <w:r>
        <w:rPr>
          <w:rFonts w:ascii="Century Gothic" w:hAnsi="Century Gothic"/>
          <w:color w:val="000000" w:themeColor="text1"/>
        </w:rPr>
        <w:t xml:space="preserve">El concepto fiscal deberá ser solicitado por el o los ponentes antes de que se radique ponencia para primer debate. El Ministerio de Hacienda y Crédito Público o quien haga sus veces tendrá hasta 10 días </w:t>
      </w:r>
      <w:r w:rsidR="00E50276">
        <w:rPr>
          <w:rFonts w:ascii="Century Gothic" w:hAnsi="Century Gothic"/>
          <w:color w:val="000000" w:themeColor="text1"/>
        </w:rPr>
        <w:t>hábiles</w:t>
      </w:r>
      <w:r>
        <w:rPr>
          <w:rFonts w:ascii="Century Gothic" w:hAnsi="Century Gothic"/>
          <w:color w:val="000000" w:themeColor="text1"/>
        </w:rPr>
        <w:t>, contados a partir de la solicitud del ponente, para rendir dicho informe</w:t>
      </w:r>
      <w:r w:rsidRPr="00C83346">
        <w:rPr>
          <w:rFonts w:ascii="Century Gothic" w:hAnsi="Century Gothic"/>
          <w:color w:val="000000" w:themeColor="text1"/>
        </w:rPr>
        <w:t xml:space="preserve">. </w:t>
      </w:r>
      <w:r w:rsidR="00E50276">
        <w:rPr>
          <w:rFonts w:ascii="Century Gothic" w:hAnsi="Century Gothic"/>
          <w:color w:val="000000" w:themeColor="text1"/>
        </w:rPr>
        <w:t>El Ministerio de Hacienda y Crédito Público no podrá solicitar prórroga para rendir el concepto fiscal.</w:t>
      </w:r>
    </w:p>
    <w:p w:rsidR="00245146" w:rsidRPr="00C83346" w:rsidRDefault="00245146" w:rsidP="00245146">
      <w:pPr>
        <w:jc w:val="both"/>
        <w:rPr>
          <w:rFonts w:ascii="Century Gothic" w:hAnsi="Century Gothic"/>
          <w:color w:val="000000" w:themeColor="text1"/>
        </w:rPr>
      </w:pPr>
    </w:p>
    <w:p w:rsidR="00245146" w:rsidRDefault="00E50276" w:rsidP="00245146">
      <w:pPr>
        <w:jc w:val="both"/>
        <w:rPr>
          <w:rFonts w:ascii="Century Gothic" w:hAnsi="Century Gothic"/>
          <w:color w:val="000000" w:themeColor="text1"/>
        </w:rPr>
      </w:pPr>
      <w:r>
        <w:rPr>
          <w:rFonts w:ascii="Century Gothic" w:hAnsi="Century Gothic"/>
          <w:b/>
          <w:color w:val="000000" w:themeColor="text1"/>
        </w:rPr>
        <w:t>Parágrafo 2</w:t>
      </w:r>
      <w:r w:rsidR="00245146" w:rsidRPr="00C83346">
        <w:rPr>
          <w:rFonts w:ascii="Century Gothic" w:hAnsi="Century Gothic"/>
          <w:b/>
          <w:color w:val="000000" w:themeColor="text1"/>
        </w:rPr>
        <w:t xml:space="preserve">. </w:t>
      </w:r>
      <w:r w:rsidR="00245146" w:rsidRPr="00C83346">
        <w:rPr>
          <w:rFonts w:ascii="Century Gothic" w:hAnsi="Century Gothic"/>
          <w:color w:val="000000" w:themeColor="text1"/>
        </w:rPr>
        <w:t>L</w:t>
      </w:r>
      <w:r w:rsidR="00245146" w:rsidRPr="00C83346">
        <w:rPr>
          <w:rFonts w:ascii="Century Gothic" w:hAnsi="Century Gothic"/>
          <w:iCs/>
          <w:color w:val="000000"/>
          <w:bdr w:val="none" w:sz="0" w:space="0" w:color="auto" w:frame="1"/>
        </w:rPr>
        <w:t xml:space="preserve">a omisión parcial de las condiciones establecidas en </w:t>
      </w:r>
      <w:r w:rsidR="00245146">
        <w:rPr>
          <w:rFonts w:ascii="Century Gothic" w:hAnsi="Century Gothic"/>
          <w:iCs/>
          <w:color w:val="000000"/>
          <w:bdr w:val="none" w:sz="0" w:space="0" w:color="auto" w:frame="1"/>
        </w:rPr>
        <w:t>este</w:t>
      </w:r>
      <w:r w:rsidR="00245146" w:rsidRPr="00C83346">
        <w:rPr>
          <w:rFonts w:ascii="Century Gothic" w:hAnsi="Century Gothic"/>
          <w:iCs/>
          <w:color w:val="000000"/>
          <w:bdr w:val="none" w:sz="0" w:space="0" w:color="auto" w:frame="1"/>
        </w:rPr>
        <w:t xml:space="preserve"> </w:t>
      </w:r>
      <w:r w:rsidR="00245146">
        <w:rPr>
          <w:rFonts w:ascii="Century Gothic" w:hAnsi="Century Gothic"/>
          <w:iCs/>
          <w:color w:val="000000"/>
          <w:bdr w:val="none" w:sz="0" w:space="0" w:color="auto" w:frame="1"/>
        </w:rPr>
        <w:t xml:space="preserve">artículo </w:t>
      </w:r>
      <w:r w:rsidR="00245146" w:rsidRPr="00C83346">
        <w:rPr>
          <w:rFonts w:ascii="Century Gothic" w:hAnsi="Century Gothic"/>
          <w:iCs/>
          <w:color w:val="000000"/>
          <w:bdr w:val="none" w:sz="0" w:space="0" w:color="auto" w:frame="1"/>
        </w:rPr>
        <w:t xml:space="preserve">por parte del Ministerio de Hacienda no constituye un vicio del trámite del proyecto de ley que se analiza. </w:t>
      </w:r>
      <w:r w:rsidR="00245146" w:rsidRPr="00C83346">
        <w:rPr>
          <w:rFonts w:ascii="Century Gothic" w:hAnsi="Century Gothic"/>
          <w:color w:val="000000" w:themeColor="text1"/>
        </w:rPr>
        <w:t xml:space="preserve">En caso de que el Ministerio de Hacienda y Crédito Público o quien haga sus veces y/o los ponentes incumplan lo estipulado </w:t>
      </w:r>
      <w:r w:rsidR="00245146">
        <w:rPr>
          <w:rFonts w:ascii="Century Gothic" w:hAnsi="Century Gothic"/>
          <w:color w:val="000000" w:themeColor="text1"/>
        </w:rPr>
        <w:t>en el parágrafo 1 de este artículo</w:t>
      </w:r>
      <w:r w:rsidR="00245146" w:rsidRPr="00C83346">
        <w:rPr>
          <w:rFonts w:ascii="Century Gothic" w:hAnsi="Century Gothic"/>
          <w:color w:val="000000" w:themeColor="text1"/>
        </w:rPr>
        <w:t xml:space="preserve"> se </w:t>
      </w:r>
      <w:r w:rsidR="00245146">
        <w:rPr>
          <w:rFonts w:ascii="Century Gothic" w:hAnsi="Century Gothic"/>
          <w:color w:val="000000" w:themeColor="text1"/>
        </w:rPr>
        <w:t>iniciarán</w:t>
      </w:r>
      <w:r w:rsidR="00245146" w:rsidRPr="00C83346">
        <w:rPr>
          <w:rFonts w:ascii="Century Gothic" w:hAnsi="Century Gothic"/>
          <w:color w:val="000000" w:themeColor="text1"/>
        </w:rPr>
        <w:t xml:space="preserve"> las investigaciones disciplinarias correspondientes.</w:t>
      </w:r>
    </w:p>
    <w:p w:rsidR="00245146" w:rsidRPr="00C8334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r w:rsidRPr="00C83346">
        <w:rPr>
          <w:rFonts w:ascii="Century Gothic" w:hAnsi="Century Gothic"/>
          <w:b/>
          <w:color w:val="000000" w:themeColor="text1"/>
        </w:rPr>
        <w:t>Parágrafo 3.</w:t>
      </w:r>
      <w:r w:rsidRPr="00C83346">
        <w:rPr>
          <w:rFonts w:ascii="Century Gothic" w:hAnsi="Century Gothic"/>
          <w:color w:val="000000" w:themeColor="text1"/>
        </w:rPr>
        <w:t xml:space="preserve"> El concepto del Ministerio de Hacienda y Crédito Público o quien haga sus veces deberá </w:t>
      </w:r>
      <w:r>
        <w:rPr>
          <w:rFonts w:ascii="Century Gothic" w:hAnsi="Century Gothic"/>
          <w:color w:val="000000" w:themeColor="text1"/>
        </w:rPr>
        <w:t>tener de forma explícita al menos los siguientes parámetros:</w:t>
      </w:r>
    </w:p>
    <w:p w:rsidR="00245146" w:rsidRDefault="00245146" w:rsidP="00245146">
      <w:pPr>
        <w:pStyle w:val="Prrafodelista"/>
        <w:numPr>
          <w:ilvl w:val="0"/>
          <w:numId w:val="22"/>
        </w:numPr>
        <w:spacing w:after="160" w:line="259" w:lineRule="auto"/>
        <w:jc w:val="both"/>
        <w:rPr>
          <w:rFonts w:ascii="Century Gothic" w:hAnsi="Century Gothic"/>
          <w:color w:val="000000" w:themeColor="text1"/>
        </w:rPr>
      </w:pPr>
      <w:r>
        <w:rPr>
          <w:rFonts w:ascii="Century Gothic" w:hAnsi="Century Gothic"/>
          <w:color w:val="000000" w:themeColor="text1"/>
        </w:rPr>
        <w:t>I</w:t>
      </w:r>
      <w:r w:rsidRPr="00153D28">
        <w:rPr>
          <w:rFonts w:ascii="Century Gothic" w:hAnsi="Century Gothic"/>
          <w:color w:val="000000" w:themeColor="text1"/>
        </w:rPr>
        <w:t>mpacto fiscal</w:t>
      </w:r>
      <w:r>
        <w:rPr>
          <w:rFonts w:ascii="Century Gothic" w:hAnsi="Century Gothic"/>
          <w:color w:val="000000" w:themeColor="text1"/>
        </w:rPr>
        <w:t>.</w:t>
      </w:r>
      <w:r w:rsidRPr="00153D28">
        <w:rPr>
          <w:rFonts w:ascii="Century Gothic" w:hAnsi="Century Gothic"/>
          <w:color w:val="000000" w:themeColor="text1"/>
        </w:rPr>
        <w:t xml:space="preserve"> </w:t>
      </w:r>
    </w:p>
    <w:p w:rsidR="00245146" w:rsidRDefault="00245146" w:rsidP="00245146">
      <w:pPr>
        <w:pStyle w:val="Prrafodelista"/>
        <w:numPr>
          <w:ilvl w:val="0"/>
          <w:numId w:val="22"/>
        </w:numPr>
        <w:spacing w:after="160" w:line="259" w:lineRule="auto"/>
        <w:jc w:val="both"/>
        <w:rPr>
          <w:rFonts w:ascii="Century Gothic" w:hAnsi="Century Gothic"/>
          <w:color w:val="000000" w:themeColor="text1"/>
        </w:rPr>
      </w:pPr>
      <w:r>
        <w:rPr>
          <w:rFonts w:ascii="Century Gothic" w:hAnsi="Century Gothic"/>
          <w:color w:val="000000" w:themeColor="text1"/>
        </w:rPr>
        <w:t xml:space="preserve">Impacto </w:t>
      </w:r>
      <w:r w:rsidRPr="00153D28">
        <w:rPr>
          <w:rFonts w:ascii="Century Gothic" w:hAnsi="Century Gothic"/>
          <w:color w:val="000000" w:themeColor="text1"/>
        </w:rPr>
        <w:t>sobre el empleo y</w:t>
      </w:r>
      <w:r>
        <w:rPr>
          <w:rFonts w:ascii="Century Gothic" w:hAnsi="Century Gothic"/>
          <w:color w:val="000000" w:themeColor="text1"/>
        </w:rPr>
        <w:t xml:space="preserve"> la informalidad.</w:t>
      </w:r>
    </w:p>
    <w:p w:rsidR="00245146" w:rsidRDefault="00245146" w:rsidP="00245146">
      <w:pPr>
        <w:pStyle w:val="Prrafodelista"/>
        <w:numPr>
          <w:ilvl w:val="0"/>
          <w:numId w:val="22"/>
        </w:numPr>
        <w:spacing w:after="160" w:line="259" w:lineRule="auto"/>
        <w:jc w:val="both"/>
        <w:rPr>
          <w:rFonts w:ascii="Century Gothic" w:hAnsi="Century Gothic"/>
          <w:color w:val="000000" w:themeColor="text1"/>
        </w:rPr>
      </w:pPr>
      <w:r>
        <w:rPr>
          <w:rFonts w:ascii="Century Gothic" w:hAnsi="Century Gothic"/>
          <w:color w:val="000000" w:themeColor="text1"/>
        </w:rPr>
        <w:t>Impacto sobre la productividad.</w:t>
      </w:r>
    </w:p>
    <w:p w:rsidR="00245146" w:rsidRPr="00345306" w:rsidRDefault="00245146" w:rsidP="00345306">
      <w:pPr>
        <w:pStyle w:val="Prrafodelista"/>
        <w:numPr>
          <w:ilvl w:val="0"/>
          <w:numId w:val="22"/>
        </w:numPr>
        <w:spacing w:after="160" w:line="259" w:lineRule="auto"/>
        <w:jc w:val="both"/>
        <w:rPr>
          <w:rFonts w:ascii="Century Gothic" w:hAnsi="Century Gothic"/>
          <w:color w:val="000000" w:themeColor="text1"/>
        </w:rPr>
      </w:pPr>
      <w:r w:rsidRPr="00153D28">
        <w:rPr>
          <w:rFonts w:ascii="Century Gothic" w:hAnsi="Century Gothic"/>
          <w:color w:val="000000" w:themeColor="text1"/>
        </w:rPr>
        <w:t>Impacto sobre la competitividad.</w:t>
      </w:r>
      <w:r>
        <w:rPr>
          <w:rFonts w:ascii="Century Gothic" w:hAnsi="Century Gothic"/>
          <w:color w:val="000000" w:themeColor="text1"/>
        </w:rPr>
        <w:t>”</w:t>
      </w:r>
    </w:p>
    <w:p w:rsidR="00245146" w:rsidRDefault="00245146" w:rsidP="00245146">
      <w:pPr>
        <w:spacing w:line="276" w:lineRule="auto"/>
        <w:jc w:val="both"/>
        <w:rPr>
          <w:rFonts w:ascii="Century Gothic" w:hAnsi="Century Gothic" w:cs="Arial"/>
        </w:rPr>
      </w:pPr>
      <w:r>
        <w:rPr>
          <w:rFonts w:ascii="Century Gothic" w:hAnsi="Century Gothic" w:cs="Arial"/>
          <w:b/>
        </w:rPr>
        <w:t>Artículo 3</w:t>
      </w:r>
      <w:r w:rsidRPr="008A6E81">
        <w:rPr>
          <w:rFonts w:ascii="Century Gothic" w:hAnsi="Century Gothic" w:cs="Arial"/>
          <w:b/>
        </w:rPr>
        <w:t xml:space="preserve">. Vigencias y derogatorias. </w:t>
      </w:r>
      <w:r>
        <w:rPr>
          <w:rFonts w:ascii="Century Gothic" w:hAnsi="Century Gothic" w:cs="Arial"/>
        </w:rPr>
        <w:t xml:space="preserve">La presente ley rige a partir de su promulgación y deroga todas las disposiciones que le sean contrarias. </w:t>
      </w:r>
    </w:p>
    <w:p w:rsidR="00245146" w:rsidRPr="0095325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p>
    <w:p w:rsidR="00245146" w:rsidRDefault="00245146" w:rsidP="00245146">
      <w:pPr>
        <w:jc w:val="both"/>
        <w:rPr>
          <w:rFonts w:ascii="Century Gothic" w:hAnsi="Century Gothic"/>
          <w:color w:val="000000" w:themeColor="text1"/>
        </w:rPr>
      </w:pPr>
    </w:p>
    <w:p w:rsidR="00245146" w:rsidRPr="00C83346" w:rsidRDefault="00245146" w:rsidP="00245146">
      <w:pPr>
        <w:jc w:val="both"/>
        <w:rPr>
          <w:rFonts w:ascii="Century Gothic" w:hAnsi="Century Gothic"/>
          <w:color w:val="000000" w:themeColor="text1"/>
        </w:rPr>
      </w:pPr>
    </w:p>
    <w:p w:rsidR="00245146" w:rsidRPr="00C83346" w:rsidRDefault="00245146" w:rsidP="00245146">
      <w:pPr>
        <w:jc w:val="both"/>
        <w:rPr>
          <w:rFonts w:ascii="Century Gothic" w:hAnsi="Century Gothic"/>
          <w:color w:val="000000" w:themeColor="text1"/>
        </w:rPr>
      </w:pPr>
    </w:p>
    <w:p w:rsidR="00245146" w:rsidRPr="00CD7DAE" w:rsidRDefault="00245146" w:rsidP="00245146">
      <w:pPr>
        <w:jc w:val="both"/>
        <w:rPr>
          <w:rFonts w:ascii="Century Gothic" w:hAnsi="Century Gothic"/>
        </w:rPr>
      </w:pPr>
    </w:p>
    <w:p w:rsidR="00245146" w:rsidRPr="00730CBC" w:rsidRDefault="00245146" w:rsidP="00557DD7">
      <w:pPr>
        <w:jc w:val="both"/>
        <w:rPr>
          <w:rFonts w:ascii="Century Gothic" w:eastAsia="Times New Roman" w:hAnsi="Century Gothic" w:cs="Arial"/>
          <w:color w:val="000000" w:themeColor="text1"/>
          <w:lang w:val="es-ES" w:eastAsia="es-ES"/>
        </w:rPr>
      </w:pPr>
    </w:p>
    <w:sectPr w:rsidR="00245146" w:rsidRPr="00730CBC">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9BC" w:rsidRDefault="00EA49BC">
      <w:r>
        <w:separator/>
      </w:r>
    </w:p>
  </w:endnote>
  <w:endnote w:type="continuationSeparator" w:id="0">
    <w:p w:rsidR="00EA49BC" w:rsidRDefault="00E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E4F6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CB" w:rsidRDefault="002E421A" w:rsidP="006E28A8">
    <w:pPr>
      <w:pStyle w:val="Piedepgina"/>
      <w:jc w:val="both"/>
    </w:pPr>
    <w:r>
      <w:rPr>
        <w:noProof/>
        <w:lang w:val="es-CO" w:eastAsia="es-CO"/>
      </w:rPr>
      <w:drawing>
        <wp:inline distT="0" distB="0" distL="0" distR="0" wp14:anchorId="2E6A33F4" wp14:editId="3B57D981">
          <wp:extent cx="5653546" cy="86677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7862" cy="8751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E4F6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9BC" w:rsidRDefault="00EA49BC">
      <w:r>
        <w:separator/>
      </w:r>
    </w:p>
  </w:footnote>
  <w:footnote w:type="continuationSeparator" w:id="0">
    <w:p w:rsidR="00EA49BC" w:rsidRDefault="00EA49BC">
      <w:r>
        <w:continuationSeparator/>
      </w:r>
    </w:p>
  </w:footnote>
  <w:footnote w:id="1">
    <w:p w:rsidR="00245146" w:rsidRPr="00953256" w:rsidRDefault="00245146" w:rsidP="00245146">
      <w:pPr>
        <w:pStyle w:val="Textonotapie"/>
        <w:rPr>
          <w:rFonts w:ascii="Century Gothic" w:hAnsi="Century Gothic"/>
        </w:rPr>
      </w:pPr>
      <w:r w:rsidRPr="00953256">
        <w:rPr>
          <w:rStyle w:val="Refdenotaalpie"/>
          <w:rFonts w:ascii="Century Gothic" w:hAnsi="Century Gothic"/>
        </w:rPr>
        <w:footnoteRef/>
      </w:r>
      <w:r w:rsidRPr="00953256">
        <w:rPr>
          <w:rFonts w:ascii="Century Gothic" w:hAnsi="Century Gothic"/>
        </w:rPr>
        <w:t xml:space="preserve"> Esto depende de unas situaciones específicos como la existencia de pleno empleo, moneda exógena entre otros. </w:t>
      </w:r>
    </w:p>
  </w:footnote>
  <w:footnote w:id="2">
    <w:p w:rsidR="00245146" w:rsidRDefault="00245146" w:rsidP="00245146">
      <w:pPr>
        <w:pStyle w:val="Textonotapie"/>
        <w:jc w:val="both"/>
      </w:pPr>
      <w:r>
        <w:rPr>
          <w:rStyle w:val="Refdenotaalpie"/>
        </w:rPr>
        <w:footnoteRef/>
      </w:r>
      <w:r>
        <w:t xml:space="preserve"> </w:t>
      </w:r>
      <w:r w:rsidRPr="009C3690">
        <w:rPr>
          <w:rFonts w:ascii="Century Gothic" w:hAnsi="Century Gothic"/>
        </w:rPr>
        <w:t>Se destacan dos proyectos: Proyecto de ley 271/20198C por el cual se “Por medio del cual se establece un régimen especial y transitorio para las zonas francas ubicadas en territorios de frontera y se dictan otras disposiciones” y Proyecto de ley 203/2018C “Por el cual se crean incentivos tributarios para las empresas especializadas en el desarrollo de tecnologías de la información, las dedicadas a las industrias creativas y se dictan otras disposiciones”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E4F6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46A" w:rsidRPr="003810B2" w:rsidRDefault="002E421A" w:rsidP="003810B2">
    <w:pPr>
      <w:pStyle w:val="Encabezado"/>
      <w:jc w:val="center"/>
      <w:rPr>
        <w:u w:val="single"/>
      </w:rPr>
    </w:pPr>
    <w:r w:rsidRPr="003810B2">
      <w:rPr>
        <w:noProof/>
        <w:u w:val="single"/>
        <w:lang w:val="es-CO" w:eastAsia="es-CO"/>
      </w:rPr>
      <w:drawing>
        <wp:inline distT="0" distB="0" distL="0" distR="0" wp14:anchorId="58B91288" wp14:editId="4F08D355">
          <wp:extent cx="4352925" cy="6673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0582" cy="679277"/>
                  </a:xfrm>
                  <a:prstGeom prst="rect">
                    <a:avLst/>
                  </a:prstGeom>
                </pic:spPr>
              </pic:pic>
            </a:graphicData>
          </a:graphic>
        </wp:inline>
      </w:drawing>
    </w:r>
    <w:r w:rsidRPr="003810B2">
      <w:rPr>
        <w:noProof/>
        <w:u w:val="single"/>
        <w:lang w:val="es-CO" w:eastAsia="es-CO"/>
      </w:rPr>
      <w:drawing>
        <wp:inline distT="0" distB="0" distL="0" distR="0" wp14:anchorId="20A03B3F" wp14:editId="3E0DB1C9">
          <wp:extent cx="742950" cy="6917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AIS-01.png"/>
                  <pic:cNvPicPr/>
                </pic:nvPicPr>
                <pic:blipFill rotWithShape="1">
                  <a:blip r:embed="rId2" cstate="print">
                    <a:extLst>
                      <a:ext uri="{28A0092B-C50C-407E-A947-70E740481C1C}">
                        <a14:useLocalDpi xmlns:a14="http://schemas.microsoft.com/office/drawing/2010/main" val="0"/>
                      </a:ext>
                    </a:extLst>
                  </a:blip>
                  <a:srcRect l="8604" t="11657" r="7229" b="8679"/>
                  <a:stretch/>
                </pic:blipFill>
                <pic:spPr bwMode="auto">
                  <a:xfrm>
                    <a:off x="0" y="0"/>
                    <a:ext cx="748702" cy="697087"/>
                  </a:xfrm>
                  <a:prstGeom prst="rect">
                    <a:avLst/>
                  </a:prstGeom>
                  <a:ln>
                    <a:noFill/>
                  </a:ln>
                  <a:extLst>
                    <a:ext uri="{53640926-AAD7-44D8-BBD7-CCE9431645EC}">
                      <a14:shadowObscured xmlns:a14="http://schemas.microsoft.com/office/drawing/2010/main"/>
                    </a:ext>
                  </a:extLst>
                </pic:spPr>
              </pic:pic>
            </a:graphicData>
          </a:graphic>
        </wp:inline>
      </w:drawing>
    </w:r>
  </w:p>
  <w:p w:rsidR="00AC246A" w:rsidRDefault="001E4F6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1E4F6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7572"/>
    <w:multiLevelType w:val="hybridMultilevel"/>
    <w:tmpl w:val="5B88CF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621127"/>
    <w:multiLevelType w:val="hybridMultilevel"/>
    <w:tmpl w:val="80501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A03FFE"/>
    <w:multiLevelType w:val="hybridMultilevel"/>
    <w:tmpl w:val="2034AAF2"/>
    <w:lvl w:ilvl="0" w:tplc="88B0739A">
      <w:start w:val="2"/>
      <w:numFmt w:val="bullet"/>
      <w:lvlText w:val="-"/>
      <w:lvlJc w:val="left"/>
      <w:pPr>
        <w:ind w:left="360" w:hanging="360"/>
      </w:pPr>
      <w:rPr>
        <w:rFonts w:ascii="Century Gothic" w:eastAsiaTheme="minorHAnsi" w:hAnsi="Century Gothic"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68A626D"/>
    <w:multiLevelType w:val="multilevel"/>
    <w:tmpl w:val="6E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60F06"/>
    <w:multiLevelType w:val="hybridMultilevel"/>
    <w:tmpl w:val="C43CA680"/>
    <w:lvl w:ilvl="0" w:tplc="6CC07E34">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540102A"/>
    <w:multiLevelType w:val="hybridMultilevel"/>
    <w:tmpl w:val="7D0A4F12"/>
    <w:lvl w:ilvl="0" w:tplc="5DC60510">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3A4C30D9"/>
    <w:multiLevelType w:val="hybridMultilevel"/>
    <w:tmpl w:val="6FC8AA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5AF0EB9"/>
    <w:multiLevelType w:val="hybridMultilevel"/>
    <w:tmpl w:val="870EA2DE"/>
    <w:lvl w:ilvl="0" w:tplc="8470459A">
      <w:numFmt w:val="bullet"/>
      <w:lvlText w:val="-"/>
      <w:lvlJc w:val="left"/>
      <w:pPr>
        <w:ind w:left="1440" w:hanging="360"/>
      </w:pPr>
      <w:rPr>
        <w:rFonts w:ascii="Century Gothic" w:eastAsiaTheme="minorHAnsi" w:hAnsi="Century Gothic" w:cstheme="minorBid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761139F"/>
    <w:multiLevelType w:val="hybridMultilevel"/>
    <w:tmpl w:val="0F5A7292"/>
    <w:lvl w:ilvl="0" w:tplc="178E094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4B831E96"/>
    <w:multiLevelType w:val="hybridMultilevel"/>
    <w:tmpl w:val="ADA8997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9622FAE4">
      <w:start w:val="5"/>
      <w:numFmt w:val="bullet"/>
      <w:lvlText w:val=""/>
      <w:lvlJc w:val="left"/>
      <w:pPr>
        <w:ind w:left="2880" w:hanging="360"/>
      </w:pPr>
      <w:rPr>
        <w:rFonts w:ascii="Symbol" w:eastAsiaTheme="minorHAnsi" w:hAnsi="Symbol" w:cs="Verdana" w:hint="default"/>
      </w:r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EF13102"/>
    <w:multiLevelType w:val="hybridMultilevel"/>
    <w:tmpl w:val="816C9D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F750F18"/>
    <w:multiLevelType w:val="hybridMultilevel"/>
    <w:tmpl w:val="FC08647A"/>
    <w:lvl w:ilvl="0" w:tplc="53CC3EEA">
      <w:start w:val="1"/>
      <w:numFmt w:val="bullet"/>
      <w:lvlText w:val="-"/>
      <w:lvlJc w:val="left"/>
      <w:pPr>
        <w:ind w:left="1440" w:hanging="360"/>
      </w:pPr>
      <w:rPr>
        <w:rFonts w:ascii="Century Gothic" w:eastAsiaTheme="minorHAnsi" w:hAnsi="Century Gothic" w:cstheme="minorBidi"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513B0A09"/>
    <w:multiLevelType w:val="hybridMultilevel"/>
    <w:tmpl w:val="DDA8FBDE"/>
    <w:lvl w:ilvl="0" w:tplc="35488D30">
      <w:numFmt w:val="bullet"/>
      <w:lvlText w:val="-"/>
      <w:lvlJc w:val="left"/>
      <w:pPr>
        <w:ind w:left="7590" w:hanging="360"/>
      </w:pPr>
      <w:rPr>
        <w:rFonts w:ascii="Century Gothic" w:eastAsiaTheme="minorHAnsi" w:hAnsi="Century Gothic" w:cstheme="minorBidi" w:hint="default"/>
      </w:rPr>
    </w:lvl>
    <w:lvl w:ilvl="1" w:tplc="240A0003" w:tentative="1">
      <w:start w:val="1"/>
      <w:numFmt w:val="bullet"/>
      <w:lvlText w:val="o"/>
      <w:lvlJc w:val="left"/>
      <w:pPr>
        <w:ind w:left="8310" w:hanging="360"/>
      </w:pPr>
      <w:rPr>
        <w:rFonts w:ascii="Courier New" w:hAnsi="Courier New" w:cs="Courier New" w:hint="default"/>
      </w:rPr>
    </w:lvl>
    <w:lvl w:ilvl="2" w:tplc="240A0005" w:tentative="1">
      <w:start w:val="1"/>
      <w:numFmt w:val="bullet"/>
      <w:lvlText w:val=""/>
      <w:lvlJc w:val="left"/>
      <w:pPr>
        <w:ind w:left="9030" w:hanging="360"/>
      </w:pPr>
      <w:rPr>
        <w:rFonts w:ascii="Wingdings" w:hAnsi="Wingdings" w:hint="default"/>
      </w:rPr>
    </w:lvl>
    <w:lvl w:ilvl="3" w:tplc="240A0001" w:tentative="1">
      <w:start w:val="1"/>
      <w:numFmt w:val="bullet"/>
      <w:lvlText w:val=""/>
      <w:lvlJc w:val="left"/>
      <w:pPr>
        <w:ind w:left="9750" w:hanging="360"/>
      </w:pPr>
      <w:rPr>
        <w:rFonts w:ascii="Symbol" w:hAnsi="Symbol" w:hint="default"/>
      </w:rPr>
    </w:lvl>
    <w:lvl w:ilvl="4" w:tplc="240A0003" w:tentative="1">
      <w:start w:val="1"/>
      <w:numFmt w:val="bullet"/>
      <w:lvlText w:val="o"/>
      <w:lvlJc w:val="left"/>
      <w:pPr>
        <w:ind w:left="10470" w:hanging="360"/>
      </w:pPr>
      <w:rPr>
        <w:rFonts w:ascii="Courier New" w:hAnsi="Courier New" w:cs="Courier New" w:hint="default"/>
      </w:rPr>
    </w:lvl>
    <w:lvl w:ilvl="5" w:tplc="240A0005" w:tentative="1">
      <w:start w:val="1"/>
      <w:numFmt w:val="bullet"/>
      <w:lvlText w:val=""/>
      <w:lvlJc w:val="left"/>
      <w:pPr>
        <w:ind w:left="11190" w:hanging="360"/>
      </w:pPr>
      <w:rPr>
        <w:rFonts w:ascii="Wingdings" w:hAnsi="Wingdings" w:hint="default"/>
      </w:rPr>
    </w:lvl>
    <w:lvl w:ilvl="6" w:tplc="240A0001" w:tentative="1">
      <w:start w:val="1"/>
      <w:numFmt w:val="bullet"/>
      <w:lvlText w:val=""/>
      <w:lvlJc w:val="left"/>
      <w:pPr>
        <w:ind w:left="11910" w:hanging="360"/>
      </w:pPr>
      <w:rPr>
        <w:rFonts w:ascii="Symbol" w:hAnsi="Symbol" w:hint="default"/>
      </w:rPr>
    </w:lvl>
    <w:lvl w:ilvl="7" w:tplc="240A0003" w:tentative="1">
      <w:start w:val="1"/>
      <w:numFmt w:val="bullet"/>
      <w:lvlText w:val="o"/>
      <w:lvlJc w:val="left"/>
      <w:pPr>
        <w:ind w:left="12630" w:hanging="360"/>
      </w:pPr>
      <w:rPr>
        <w:rFonts w:ascii="Courier New" w:hAnsi="Courier New" w:cs="Courier New" w:hint="default"/>
      </w:rPr>
    </w:lvl>
    <w:lvl w:ilvl="8" w:tplc="240A0005" w:tentative="1">
      <w:start w:val="1"/>
      <w:numFmt w:val="bullet"/>
      <w:lvlText w:val=""/>
      <w:lvlJc w:val="left"/>
      <w:pPr>
        <w:ind w:left="13350" w:hanging="360"/>
      </w:pPr>
      <w:rPr>
        <w:rFonts w:ascii="Wingdings" w:hAnsi="Wingdings" w:hint="default"/>
      </w:rPr>
    </w:lvl>
  </w:abstractNum>
  <w:abstractNum w:abstractNumId="13" w15:restartNumberingAfterBreak="0">
    <w:nsid w:val="523464D2"/>
    <w:multiLevelType w:val="hybridMultilevel"/>
    <w:tmpl w:val="3866F89A"/>
    <w:lvl w:ilvl="0" w:tplc="240A000F">
      <w:start w:val="1"/>
      <w:numFmt w:val="decimal"/>
      <w:lvlText w:val="%1."/>
      <w:lvlJc w:val="left"/>
      <w:pPr>
        <w:ind w:left="360" w:hanging="360"/>
      </w:pPr>
      <w:rPr>
        <w:rFonts w:hint="default"/>
      </w:rPr>
    </w:lvl>
    <w:lvl w:ilvl="1" w:tplc="240A000F">
      <w:start w:val="1"/>
      <w:numFmt w:val="decimal"/>
      <w:lvlText w:val="%2."/>
      <w:lvlJc w:val="left"/>
      <w:pPr>
        <w:ind w:left="1080" w:hanging="360"/>
      </w:pPr>
      <w:rPr>
        <w:rFonts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4" w15:restartNumberingAfterBreak="0">
    <w:nsid w:val="542B37BB"/>
    <w:multiLevelType w:val="hybridMultilevel"/>
    <w:tmpl w:val="6F86E4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56A0272"/>
    <w:multiLevelType w:val="hybridMultilevel"/>
    <w:tmpl w:val="14CC398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AAB7C97"/>
    <w:multiLevelType w:val="hybridMultilevel"/>
    <w:tmpl w:val="6BCC0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70072E"/>
    <w:multiLevelType w:val="hybridMultilevel"/>
    <w:tmpl w:val="71E00288"/>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0D1552C"/>
    <w:multiLevelType w:val="hybridMultilevel"/>
    <w:tmpl w:val="78BC49FC"/>
    <w:lvl w:ilvl="0" w:tplc="E282515A">
      <w:start w:val="1"/>
      <w:numFmt w:val="lowerLetter"/>
      <w:lvlText w:val="%1."/>
      <w:lvlJc w:val="left"/>
      <w:pPr>
        <w:ind w:left="1211"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73393387"/>
    <w:multiLevelType w:val="multilevel"/>
    <w:tmpl w:val="2264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0B560A"/>
    <w:multiLevelType w:val="hybridMultilevel"/>
    <w:tmpl w:val="F61C55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A1A067B"/>
    <w:multiLevelType w:val="hybridMultilevel"/>
    <w:tmpl w:val="9A1800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1"/>
  </w:num>
  <w:num w:numId="5">
    <w:abstractNumId w:val="0"/>
  </w:num>
  <w:num w:numId="6">
    <w:abstractNumId w:val="17"/>
  </w:num>
  <w:num w:numId="7">
    <w:abstractNumId w:val="20"/>
  </w:num>
  <w:num w:numId="8">
    <w:abstractNumId w:val="12"/>
  </w:num>
  <w:num w:numId="9">
    <w:abstractNumId w:val="13"/>
  </w:num>
  <w:num w:numId="10">
    <w:abstractNumId w:val="2"/>
  </w:num>
  <w:num w:numId="11">
    <w:abstractNumId w:val="8"/>
  </w:num>
  <w:num w:numId="12">
    <w:abstractNumId w:val="5"/>
  </w:num>
  <w:num w:numId="13">
    <w:abstractNumId w:val="18"/>
  </w:num>
  <w:num w:numId="14">
    <w:abstractNumId w:val="11"/>
  </w:num>
  <w:num w:numId="15">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6"/>
  </w:num>
  <w:num w:numId="19">
    <w:abstractNumId w:val="16"/>
  </w:num>
  <w:num w:numId="20">
    <w:abstractNumId w:val="10"/>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1A"/>
    <w:rsid w:val="00003184"/>
    <w:rsid w:val="0000797E"/>
    <w:rsid w:val="000150A9"/>
    <w:rsid w:val="0001541F"/>
    <w:rsid w:val="00016096"/>
    <w:rsid w:val="00021FB9"/>
    <w:rsid w:val="00025C25"/>
    <w:rsid w:val="00030583"/>
    <w:rsid w:val="0003147C"/>
    <w:rsid w:val="00031DFF"/>
    <w:rsid w:val="00033367"/>
    <w:rsid w:val="00040BCF"/>
    <w:rsid w:val="00042D14"/>
    <w:rsid w:val="00043EC7"/>
    <w:rsid w:val="0004494E"/>
    <w:rsid w:val="00046C37"/>
    <w:rsid w:val="00047702"/>
    <w:rsid w:val="000512BE"/>
    <w:rsid w:val="00053B21"/>
    <w:rsid w:val="0005560F"/>
    <w:rsid w:val="000564E1"/>
    <w:rsid w:val="00061C50"/>
    <w:rsid w:val="0006280C"/>
    <w:rsid w:val="00062A77"/>
    <w:rsid w:val="0007056B"/>
    <w:rsid w:val="00070D24"/>
    <w:rsid w:val="000726CF"/>
    <w:rsid w:val="00077E54"/>
    <w:rsid w:val="000829DD"/>
    <w:rsid w:val="0008394E"/>
    <w:rsid w:val="00083BB3"/>
    <w:rsid w:val="00083C0F"/>
    <w:rsid w:val="00083C66"/>
    <w:rsid w:val="00085D38"/>
    <w:rsid w:val="00087BA5"/>
    <w:rsid w:val="000908A2"/>
    <w:rsid w:val="0009179B"/>
    <w:rsid w:val="00093280"/>
    <w:rsid w:val="00093C46"/>
    <w:rsid w:val="00094DBD"/>
    <w:rsid w:val="00095D4D"/>
    <w:rsid w:val="00095E9B"/>
    <w:rsid w:val="00096A91"/>
    <w:rsid w:val="000A39C7"/>
    <w:rsid w:val="000A4AB8"/>
    <w:rsid w:val="000A6933"/>
    <w:rsid w:val="000A74C8"/>
    <w:rsid w:val="000B06A1"/>
    <w:rsid w:val="000B0919"/>
    <w:rsid w:val="000B339F"/>
    <w:rsid w:val="000B4501"/>
    <w:rsid w:val="000B518B"/>
    <w:rsid w:val="000B6525"/>
    <w:rsid w:val="000B6936"/>
    <w:rsid w:val="000B6A5D"/>
    <w:rsid w:val="000B6E94"/>
    <w:rsid w:val="000C05E3"/>
    <w:rsid w:val="000C2E28"/>
    <w:rsid w:val="000C3596"/>
    <w:rsid w:val="000C373F"/>
    <w:rsid w:val="000C3AD3"/>
    <w:rsid w:val="000C3D10"/>
    <w:rsid w:val="000C41B4"/>
    <w:rsid w:val="000C56CC"/>
    <w:rsid w:val="000D13A3"/>
    <w:rsid w:val="000D1A6A"/>
    <w:rsid w:val="000D4531"/>
    <w:rsid w:val="000D6343"/>
    <w:rsid w:val="000E33FE"/>
    <w:rsid w:val="000E79A6"/>
    <w:rsid w:val="000E7D15"/>
    <w:rsid w:val="000F3C09"/>
    <w:rsid w:val="000F4BFD"/>
    <w:rsid w:val="000F578D"/>
    <w:rsid w:val="0010065D"/>
    <w:rsid w:val="00103DF5"/>
    <w:rsid w:val="001043C1"/>
    <w:rsid w:val="0010493F"/>
    <w:rsid w:val="0011071F"/>
    <w:rsid w:val="0011211D"/>
    <w:rsid w:val="00112BBA"/>
    <w:rsid w:val="00113435"/>
    <w:rsid w:val="001148E1"/>
    <w:rsid w:val="00116F16"/>
    <w:rsid w:val="00120A8E"/>
    <w:rsid w:val="00126948"/>
    <w:rsid w:val="00132B33"/>
    <w:rsid w:val="0013328F"/>
    <w:rsid w:val="001348A1"/>
    <w:rsid w:val="00134AFC"/>
    <w:rsid w:val="00134EA6"/>
    <w:rsid w:val="001358E9"/>
    <w:rsid w:val="00145255"/>
    <w:rsid w:val="0014583E"/>
    <w:rsid w:val="001463BE"/>
    <w:rsid w:val="001503D8"/>
    <w:rsid w:val="001508CF"/>
    <w:rsid w:val="00152B4A"/>
    <w:rsid w:val="00154512"/>
    <w:rsid w:val="00157B3D"/>
    <w:rsid w:val="00160655"/>
    <w:rsid w:val="0016092D"/>
    <w:rsid w:val="00163882"/>
    <w:rsid w:val="001648B0"/>
    <w:rsid w:val="00165425"/>
    <w:rsid w:val="001666D0"/>
    <w:rsid w:val="00167EF9"/>
    <w:rsid w:val="001705B7"/>
    <w:rsid w:val="001705F3"/>
    <w:rsid w:val="001760C9"/>
    <w:rsid w:val="001811C9"/>
    <w:rsid w:val="00184485"/>
    <w:rsid w:val="001849E1"/>
    <w:rsid w:val="001902A8"/>
    <w:rsid w:val="00191640"/>
    <w:rsid w:val="00191DEA"/>
    <w:rsid w:val="00192048"/>
    <w:rsid w:val="00194E61"/>
    <w:rsid w:val="0019623E"/>
    <w:rsid w:val="00196A05"/>
    <w:rsid w:val="001A34AC"/>
    <w:rsid w:val="001A360A"/>
    <w:rsid w:val="001A5AA3"/>
    <w:rsid w:val="001A72C9"/>
    <w:rsid w:val="001A7681"/>
    <w:rsid w:val="001B1636"/>
    <w:rsid w:val="001B23B6"/>
    <w:rsid w:val="001B5343"/>
    <w:rsid w:val="001B5FE9"/>
    <w:rsid w:val="001B6162"/>
    <w:rsid w:val="001B7B4A"/>
    <w:rsid w:val="001B7BEB"/>
    <w:rsid w:val="001C0691"/>
    <w:rsid w:val="001C3764"/>
    <w:rsid w:val="001C659A"/>
    <w:rsid w:val="001D0A41"/>
    <w:rsid w:val="001D1AB8"/>
    <w:rsid w:val="001D29C2"/>
    <w:rsid w:val="001D3AD7"/>
    <w:rsid w:val="001D440C"/>
    <w:rsid w:val="001D4BDD"/>
    <w:rsid w:val="001D4E2D"/>
    <w:rsid w:val="001D5240"/>
    <w:rsid w:val="001E0C9C"/>
    <w:rsid w:val="001E100C"/>
    <w:rsid w:val="001E153F"/>
    <w:rsid w:val="001E1FAF"/>
    <w:rsid w:val="001E32EE"/>
    <w:rsid w:val="001E342D"/>
    <w:rsid w:val="001E3444"/>
    <w:rsid w:val="001E4F67"/>
    <w:rsid w:val="001E5141"/>
    <w:rsid w:val="001E6594"/>
    <w:rsid w:val="001E7758"/>
    <w:rsid w:val="001F37D3"/>
    <w:rsid w:val="001F4C05"/>
    <w:rsid w:val="001F5E6C"/>
    <w:rsid w:val="001F79A9"/>
    <w:rsid w:val="0020108E"/>
    <w:rsid w:val="0020244F"/>
    <w:rsid w:val="00205DCD"/>
    <w:rsid w:val="00206BD6"/>
    <w:rsid w:val="0020728A"/>
    <w:rsid w:val="00207310"/>
    <w:rsid w:val="00207E2B"/>
    <w:rsid w:val="00210A2B"/>
    <w:rsid w:val="002124A4"/>
    <w:rsid w:val="002125D6"/>
    <w:rsid w:val="0021299B"/>
    <w:rsid w:val="0021648C"/>
    <w:rsid w:val="002213B0"/>
    <w:rsid w:val="00222B7C"/>
    <w:rsid w:val="00232581"/>
    <w:rsid w:val="00234DF5"/>
    <w:rsid w:val="002409DA"/>
    <w:rsid w:val="00241BC8"/>
    <w:rsid w:val="00243565"/>
    <w:rsid w:val="00245146"/>
    <w:rsid w:val="00245336"/>
    <w:rsid w:val="00245906"/>
    <w:rsid w:val="0024725A"/>
    <w:rsid w:val="002515C8"/>
    <w:rsid w:val="002530D2"/>
    <w:rsid w:val="00253544"/>
    <w:rsid w:val="00256EE8"/>
    <w:rsid w:val="00257FC2"/>
    <w:rsid w:val="002601EC"/>
    <w:rsid w:val="00266F33"/>
    <w:rsid w:val="00267164"/>
    <w:rsid w:val="00267CB2"/>
    <w:rsid w:val="0027659F"/>
    <w:rsid w:val="002768F8"/>
    <w:rsid w:val="00276A30"/>
    <w:rsid w:val="00276AC8"/>
    <w:rsid w:val="00280D3A"/>
    <w:rsid w:val="00281957"/>
    <w:rsid w:val="002825D4"/>
    <w:rsid w:val="00282B5D"/>
    <w:rsid w:val="002850F9"/>
    <w:rsid w:val="002859D4"/>
    <w:rsid w:val="00286D91"/>
    <w:rsid w:val="00292C29"/>
    <w:rsid w:val="00293766"/>
    <w:rsid w:val="0029479C"/>
    <w:rsid w:val="00295400"/>
    <w:rsid w:val="002A4A9C"/>
    <w:rsid w:val="002A54AC"/>
    <w:rsid w:val="002A649E"/>
    <w:rsid w:val="002B1ECA"/>
    <w:rsid w:val="002B36D1"/>
    <w:rsid w:val="002B41A3"/>
    <w:rsid w:val="002B42B7"/>
    <w:rsid w:val="002B6C63"/>
    <w:rsid w:val="002B7950"/>
    <w:rsid w:val="002B7AC7"/>
    <w:rsid w:val="002C0C3C"/>
    <w:rsid w:val="002C3772"/>
    <w:rsid w:val="002C398F"/>
    <w:rsid w:val="002C52C6"/>
    <w:rsid w:val="002C6E2C"/>
    <w:rsid w:val="002C70A2"/>
    <w:rsid w:val="002D1E06"/>
    <w:rsid w:val="002D37F3"/>
    <w:rsid w:val="002D557B"/>
    <w:rsid w:val="002D5A5D"/>
    <w:rsid w:val="002D5AD1"/>
    <w:rsid w:val="002D6C0A"/>
    <w:rsid w:val="002E0671"/>
    <w:rsid w:val="002E1A8E"/>
    <w:rsid w:val="002E3A0D"/>
    <w:rsid w:val="002E421A"/>
    <w:rsid w:val="002E5CFD"/>
    <w:rsid w:val="002E649B"/>
    <w:rsid w:val="002E718E"/>
    <w:rsid w:val="002E769F"/>
    <w:rsid w:val="002E7AF1"/>
    <w:rsid w:val="002F1970"/>
    <w:rsid w:val="002F4D7E"/>
    <w:rsid w:val="002F7319"/>
    <w:rsid w:val="00301228"/>
    <w:rsid w:val="00302182"/>
    <w:rsid w:val="00303EDA"/>
    <w:rsid w:val="003041BB"/>
    <w:rsid w:val="0030533C"/>
    <w:rsid w:val="00306237"/>
    <w:rsid w:val="0030675E"/>
    <w:rsid w:val="0031210C"/>
    <w:rsid w:val="00313386"/>
    <w:rsid w:val="00313F41"/>
    <w:rsid w:val="00314C72"/>
    <w:rsid w:val="00315405"/>
    <w:rsid w:val="00315479"/>
    <w:rsid w:val="00316148"/>
    <w:rsid w:val="00316C9E"/>
    <w:rsid w:val="003202AB"/>
    <w:rsid w:val="00320D77"/>
    <w:rsid w:val="0032316E"/>
    <w:rsid w:val="003239FD"/>
    <w:rsid w:val="0032441B"/>
    <w:rsid w:val="00324A6D"/>
    <w:rsid w:val="0032784A"/>
    <w:rsid w:val="00332FCF"/>
    <w:rsid w:val="0033549D"/>
    <w:rsid w:val="00337964"/>
    <w:rsid w:val="003426D2"/>
    <w:rsid w:val="00343F70"/>
    <w:rsid w:val="00345306"/>
    <w:rsid w:val="00346D12"/>
    <w:rsid w:val="00352ECC"/>
    <w:rsid w:val="00352FA7"/>
    <w:rsid w:val="003530E3"/>
    <w:rsid w:val="0035345F"/>
    <w:rsid w:val="00354BFA"/>
    <w:rsid w:val="003550E0"/>
    <w:rsid w:val="00355913"/>
    <w:rsid w:val="00357B0F"/>
    <w:rsid w:val="003608C5"/>
    <w:rsid w:val="0036204F"/>
    <w:rsid w:val="003620FC"/>
    <w:rsid w:val="00362BAD"/>
    <w:rsid w:val="0036347B"/>
    <w:rsid w:val="0036679A"/>
    <w:rsid w:val="00366FEC"/>
    <w:rsid w:val="003721AE"/>
    <w:rsid w:val="00373CD9"/>
    <w:rsid w:val="00375B73"/>
    <w:rsid w:val="00380270"/>
    <w:rsid w:val="00384206"/>
    <w:rsid w:val="00384BAA"/>
    <w:rsid w:val="00385576"/>
    <w:rsid w:val="00385D63"/>
    <w:rsid w:val="003901B5"/>
    <w:rsid w:val="00392342"/>
    <w:rsid w:val="00393A8B"/>
    <w:rsid w:val="0039400F"/>
    <w:rsid w:val="00394572"/>
    <w:rsid w:val="00395FD9"/>
    <w:rsid w:val="003A1FEA"/>
    <w:rsid w:val="003A225C"/>
    <w:rsid w:val="003A448E"/>
    <w:rsid w:val="003B063B"/>
    <w:rsid w:val="003B1EBD"/>
    <w:rsid w:val="003B6647"/>
    <w:rsid w:val="003B6E93"/>
    <w:rsid w:val="003C0CC0"/>
    <w:rsid w:val="003C0EA6"/>
    <w:rsid w:val="003C17DE"/>
    <w:rsid w:val="003C3EB2"/>
    <w:rsid w:val="003C6722"/>
    <w:rsid w:val="003D0FFB"/>
    <w:rsid w:val="003D37C0"/>
    <w:rsid w:val="003E09D7"/>
    <w:rsid w:val="003E0B6F"/>
    <w:rsid w:val="003E3274"/>
    <w:rsid w:val="003E3A2C"/>
    <w:rsid w:val="003E4379"/>
    <w:rsid w:val="003E73A3"/>
    <w:rsid w:val="003F0DC5"/>
    <w:rsid w:val="003F1B99"/>
    <w:rsid w:val="003F38F9"/>
    <w:rsid w:val="003F6780"/>
    <w:rsid w:val="0040021D"/>
    <w:rsid w:val="00401BD8"/>
    <w:rsid w:val="00402929"/>
    <w:rsid w:val="00403516"/>
    <w:rsid w:val="00403D33"/>
    <w:rsid w:val="004042F0"/>
    <w:rsid w:val="0040471F"/>
    <w:rsid w:val="00404AE6"/>
    <w:rsid w:val="004069AC"/>
    <w:rsid w:val="0040736D"/>
    <w:rsid w:val="0041155A"/>
    <w:rsid w:val="00414C7C"/>
    <w:rsid w:val="00416F65"/>
    <w:rsid w:val="00421E90"/>
    <w:rsid w:val="00423E50"/>
    <w:rsid w:val="0042419E"/>
    <w:rsid w:val="004266F5"/>
    <w:rsid w:val="00426D55"/>
    <w:rsid w:val="0042784A"/>
    <w:rsid w:val="004301D5"/>
    <w:rsid w:val="0043098D"/>
    <w:rsid w:val="00431D42"/>
    <w:rsid w:val="00431FE3"/>
    <w:rsid w:val="0043336B"/>
    <w:rsid w:val="00433ACC"/>
    <w:rsid w:val="00435D16"/>
    <w:rsid w:val="00440F80"/>
    <w:rsid w:val="00441DB1"/>
    <w:rsid w:val="004437AD"/>
    <w:rsid w:val="00443CBF"/>
    <w:rsid w:val="00444A60"/>
    <w:rsid w:val="004459EA"/>
    <w:rsid w:val="004557A8"/>
    <w:rsid w:val="00456747"/>
    <w:rsid w:val="004569CD"/>
    <w:rsid w:val="00460068"/>
    <w:rsid w:val="004604DB"/>
    <w:rsid w:val="00462536"/>
    <w:rsid w:val="0046395A"/>
    <w:rsid w:val="00465260"/>
    <w:rsid w:val="00465545"/>
    <w:rsid w:val="0046565E"/>
    <w:rsid w:val="004703D6"/>
    <w:rsid w:val="00470E6D"/>
    <w:rsid w:val="004730A3"/>
    <w:rsid w:val="00473BFA"/>
    <w:rsid w:val="00474D9A"/>
    <w:rsid w:val="00475245"/>
    <w:rsid w:val="00481EE0"/>
    <w:rsid w:val="004834B0"/>
    <w:rsid w:val="004907C3"/>
    <w:rsid w:val="004912BC"/>
    <w:rsid w:val="00491F3F"/>
    <w:rsid w:val="004920AD"/>
    <w:rsid w:val="004921BC"/>
    <w:rsid w:val="0049311D"/>
    <w:rsid w:val="00493643"/>
    <w:rsid w:val="004956B6"/>
    <w:rsid w:val="00497DE4"/>
    <w:rsid w:val="004A0718"/>
    <w:rsid w:val="004A46D8"/>
    <w:rsid w:val="004A4B2F"/>
    <w:rsid w:val="004A762B"/>
    <w:rsid w:val="004B6909"/>
    <w:rsid w:val="004B6DEB"/>
    <w:rsid w:val="004C0163"/>
    <w:rsid w:val="004C1765"/>
    <w:rsid w:val="004C378C"/>
    <w:rsid w:val="004C417C"/>
    <w:rsid w:val="004C5222"/>
    <w:rsid w:val="004C6A2F"/>
    <w:rsid w:val="004D1148"/>
    <w:rsid w:val="004D1C8D"/>
    <w:rsid w:val="004D4BE8"/>
    <w:rsid w:val="004E19E2"/>
    <w:rsid w:val="004E4271"/>
    <w:rsid w:val="004E4DA0"/>
    <w:rsid w:val="004E6457"/>
    <w:rsid w:val="004E76FC"/>
    <w:rsid w:val="004F38EC"/>
    <w:rsid w:val="004F400A"/>
    <w:rsid w:val="004F72FF"/>
    <w:rsid w:val="0050072C"/>
    <w:rsid w:val="00505E61"/>
    <w:rsid w:val="00506622"/>
    <w:rsid w:val="00511112"/>
    <w:rsid w:val="00512163"/>
    <w:rsid w:val="00512A6F"/>
    <w:rsid w:val="00512F54"/>
    <w:rsid w:val="00513CD3"/>
    <w:rsid w:val="00523794"/>
    <w:rsid w:val="00526EA0"/>
    <w:rsid w:val="00526ED0"/>
    <w:rsid w:val="00532977"/>
    <w:rsid w:val="005343F1"/>
    <w:rsid w:val="0053716E"/>
    <w:rsid w:val="005403D5"/>
    <w:rsid w:val="00540CE8"/>
    <w:rsid w:val="00541E05"/>
    <w:rsid w:val="00542078"/>
    <w:rsid w:val="00542A44"/>
    <w:rsid w:val="00544854"/>
    <w:rsid w:val="0055337F"/>
    <w:rsid w:val="00554B24"/>
    <w:rsid w:val="00554C0F"/>
    <w:rsid w:val="005553A1"/>
    <w:rsid w:val="00557DD7"/>
    <w:rsid w:val="005605B6"/>
    <w:rsid w:val="00560ECF"/>
    <w:rsid w:val="005614F0"/>
    <w:rsid w:val="005632EA"/>
    <w:rsid w:val="00563309"/>
    <w:rsid w:val="005658D8"/>
    <w:rsid w:val="00567407"/>
    <w:rsid w:val="00567D8D"/>
    <w:rsid w:val="00570F24"/>
    <w:rsid w:val="00572266"/>
    <w:rsid w:val="00573B8B"/>
    <w:rsid w:val="005771AA"/>
    <w:rsid w:val="00581519"/>
    <w:rsid w:val="00582A7B"/>
    <w:rsid w:val="00584540"/>
    <w:rsid w:val="00586711"/>
    <w:rsid w:val="0059174E"/>
    <w:rsid w:val="00594ABF"/>
    <w:rsid w:val="00594AC6"/>
    <w:rsid w:val="00595421"/>
    <w:rsid w:val="005961EF"/>
    <w:rsid w:val="00597D33"/>
    <w:rsid w:val="005A0A58"/>
    <w:rsid w:val="005A1148"/>
    <w:rsid w:val="005A6707"/>
    <w:rsid w:val="005A7789"/>
    <w:rsid w:val="005B053B"/>
    <w:rsid w:val="005B08EC"/>
    <w:rsid w:val="005B44D6"/>
    <w:rsid w:val="005B4DAE"/>
    <w:rsid w:val="005B7069"/>
    <w:rsid w:val="005B7313"/>
    <w:rsid w:val="005C0BA9"/>
    <w:rsid w:val="005C3E40"/>
    <w:rsid w:val="005C5553"/>
    <w:rsid w:val="005C62D6"/>
    <w:rsid w:val="005C6609"/>
    <w:rsid w:val="005C68D7"/>
    <w:rsid w:val="005D0BB8"/>
    <w:rsid w:val="005D202A"/>
    <w:rsid w:val="005D70B2"/>
    <w:rsid w:val="005E27B6"/>
    <w:rsid w:val="005E4260"/>
    <w:rsid w:val="005E5B1D"/>
    <w:rsid w:val="005E6B44"/>
    <w:rsid w:val="005E7362"/>
    <w:rsid w:val="005E7DF1"/>
    <w:rsid w:val="005F0FEE"/>
    <w:rsid w:val="005F1D09"/>
    <w:rsid w:val="005F2C2A"/>
    <w:rsid w:val="005F55E0"/>
    <w:rsid w:val="005F7341"/>
    <w:rsid w:val="00602090"/>
    <w:rsid w:val="00604896"/>
    <w:rsid w:val="00604ED0"/>
    <w:rsid w:val="0060584E"/>
    <w:rsid w:val="006105C5"/>
    <w:rsid w:val="0061529C"/>
    <w:rsid w:val="0062092B"/>
    <w:rsid w:val="0062366A"/>
    <w:rsid w:val="006321C0"/>
    <w:rsid w:val="00634F2C"/>
    <w:rsid w:val="006401C5"/>
    <w:rsid w:val="00640F58"/>
    <w:rsid w:val="006453CD"/>
    <w:rsid w:val="00645B70"/>
    <w:rsid w:val="00653FB7"/>
    <w:rsid w:val="00655052"/>
    <w:rsid w:val="0065641A"/>
    <w:rsid w:val="00656D0F"/>
    <w:rsid w:val="00660DFE"/>
    <w:rsid w:val="00661A84"/>
    <w:rsid w:val="006628C4"/>
    <w:rsid w:val="00662CF4"/>
    <w:rsid w:val="00663B38"/>
    <w:rsid w:val="00667292"/>
    <w:rsid w:val="006677C8"/>
    <w:rsid w:val="0067092A"/>
    <w:rsid w:val="0067159F"/>
    <w:rsid w:val="00674DD4"/>
    <w:rsid w:val="00675609"/>
    <w:rsid w:val="00675EB5"/>
    <w:rsid w:val="00677231"/>
    <w:rsid w:val="00677AEB"/>
    <w:rsid w:val="00681187"/>
    <w:rsid w:val="00682222"/>
    <w:rsid w:val="00683DF1"/>
    <w:rsid w:val="00684681"/>
    <w:rsid w:val="00684B6B"/>
    <w:rsid w:val="00684DB1"/>
    <w:rsid w:val="00686359"/>
    <w:rsid w:val="00691E70"/>
    <w:rsid w:val="00692753"/>
    <w:rsid w:val="006937E5"/>
    <w:rsid w:val="0069427E"/>
    <w:rsid w:val="00696B01"/>
    <w:rsid w:val="0069794A"/>
    <w:rsid w:val="006A0294"/>
    <w:rsid w:val="006A0C9B"/>
    <w:rsid w:val="006A3569"/>
    <w:rsid w:val="006A39D8"/>
    <w:rsid w:val="006A4296"/>
    <w:rsid w:val="006A48D5"/>
    <w:rsid w:val="006A51A7"/>
    <w:rsid w:val="006A6069"/>
    <w:rsid w:val="006A747A"/>
    <w:rsid w:val="006B1573"/>
    <w:rsid w:val="006B2DCF"/>
    <w:rsid w:val="006B3F3C"/>
    <w:rsid w:val="006C401E"/>
    <w:rsid w:val="006C5AC1"/>
    <w:rsid w:val="006C79FF"/>
    <w:rsid w:val="006C7C45"/>
    <w:rsid w:val="006D1903"/>
    <w:rsid w:val="006D21CC"/>
    <w:rsid w:val="006D2ABE"/>
    <w:rsid w:val="006D4254"/>
    <w:rsid w:val="006D580B"/>
    <w:rsid w:val="006D77D2"/>
    <w:rsid w:val="006E1806"/>
    <w:rsid w:val="006E28F6"/>
    <w:rsid w:val="006E4E5D"/>
    <w:rsid w:val="006E54CB"/>
    <w:rsid w:val="006E5DF9"/>
    <w:rsid w:val="006E6580"/>
    <w:rsid w:val="006F0820"/>
    <w:rsid w:val="006F179D"/>
    <w:rsid w:val="006F1B36"/>
    <w:rsid w:val="006F3E67"/>
    <w:rsid w:val="006F483D"/>
    <w:rsid w:val="006F570B"/>
    <w:rsid w:val="006F6093"/>
    <w:rsid w:val="00702173"/>
    <w:rsid w:val="00704806"/>
    <w:rsid w:val="00711669"/>
    <w:rsid w:val="007169DC"/>
    <w:rsid w:val="0071716F"/>
    <w:rsid w:val="00720F78"/>
    <w:rsid w:val="007257F1"/>
    <w:rsid w:val="00726641"/>
    <w:rsid w:val="007278F3"/>
    <w:rsid w:val="00730CBC"/>
    <w:rsid w:val="007372FD"/>
    <w:rsid w:val="00740409"/>
    <w:rsid w:val="00740D65"/>
    <w:rsid w:val="007422CC"/>
    <w:rsid w:val="00742D0F"/>
    <w:rsid w:val="007453DF"/>
    <w:rsid w:val="007461AA"/>
    <w:rsid w:val="00754BDB"/>
    <w:rsid w:val="007574B3"/>
    <w:rsid w:val="007579A9"/>
    <w:rsid w:val="007664EC"/>
    <w:rsid w:val="00766938"/>
    <w:rsid w:val="007705D3"/>
    <w:rsid w:val="007707A9"/>
    <w:rsid w:val="00772A60"/>
    <w:rsid w:val="00777DA6"/>
    <w:rsid w:val="00780DA3"/>
    <w:rsid w:val="00781CB6"/>
    <w:rsid w:val="0079696F"/>
    <w:rsid w:val="00796C31"/>
    <w:rsid w:val="007A1F58"/>
    <w:rsid w:val="007A7EE0"/>
    <w:rsid w:val="007B15FD"/>
    <w:rsid w:val="007B58BF"/>
    <w:rsid w:val="007B5A00"/>
    <w:rsid w:val="007B78CC"/>
    <w:rsid w:val="007C07E9"/>
    <w:rsid w:val="007C2469"/>
    <w:rsid w:val="007C3704"/>
    <w:rsid w:val="007C72B4"/>
    <w:rsid w:val="007D09E9"/>
    <w:rsid w:val="007D3A41"/>
    <w:rsid w:val="007D5DB6"/>
    <w:rsid w:val="007E15A6"/>
    <w:rsid w:val="007E1FCF"/>
    <w:rsid w:val="007E2EE6"/>
    <w:rsid w:val="007E3FF8"/>
    <w:rsid w:val="007E4EF1"/>
    <w:rsid w:val="007E517B"/>
    <w:rsid w:val="007E70B9"/>
    <w:rsid w:val="007F3FCC"/>
    <w:rsid w:val="007F42AF"/>
    <w:rsid w:val="007F44A7"/>
    <w:rsid w:val="007F6110"/>
    <w:rsid w:val="007F642F"/>
    <w:rsid w:val="008001AA"/>
    <w:rsid w:val="008008A1"/>
    <w:rsid w:val="00801960"/>
    <w:rsid w:val="00804301"/>
    <w:rsid w:val="00805365"/>
    <w:rsid w:val="00806B7C"/>
    <w:rsid w:val="0080756E"/>
    <w:rsid w:val="008102D1"/>
    <w:rsid w:val="00816096"/>
    <w:rsid w:val="00823944"/>
    <w:rsid w:val="0082597B"/>
    <w:rsid w:val="00831429"/>
    <w:rsid w:val="0083538D"/>
    <w:rsid w:val="008358F1"/>
    <w:rsid w:val="00835F60"/>
    <w:rsid w:val="0083643E"/>
    <w:rsid w:val="00836F08"/>
    <w:rsid w:val="00837984"/>
    <w:rsid w:val="00840DDB"/>
    <w:rsid w:val="00841748"/>
    <w:rsid w:val="00843BD5"/>
    <w:rsid w:val="00844616"/>
    <w:rsid w:val="008459E7"/>
    <w:rsid w:val="00847A04"/>
    <w:rsid w:val="00850267"/>
    <w:rsid w:val="00852AD9"/>
    <w:rsid w:val="00853FD9"/>
    <w:rsid w:val="00863890"/>
    <w:rsid w:val="00864BD9"/>
    <w:rsid w:val="00864CDB"/>
    <w:rsid w:val="00865AA8"/>
    <w:rsid w:val="0087254A"/>
    <w:rsid w:val="0087278E"/>
    <w:rsid w:val="0087672E"/>
    <w:rsid w:val="00876A5A"/>
    <w:rsid w:val="00876AFB"/>
    <w:rsid w:val="008814CC"/>
    <w:rsid w:val="008816B5"/>
    <w:rsid w:val="00883E6E"/>
    <w:rsid w:val="00890C2F"/>
    <w:rsid w:val="00896E41"/>
    <w:rsid w:val="008A0A8C"/>
    <w:rsid w:val="008A123E"/>
    <w:rsid w:val="008A2F3D"/>
    <w:rsid w:val="008A358B"/>
    <w:rsid w:val="008A5FDC"/>
    <w:rsid w:val="008A6A5A"/>
    <w:rsid w:val="008B0E4F"/>
    <w:rsid w:val="008B3088"/>
    <w:rsid w:val="008B3A1A"/>
    <w:rsid w:val="008B602E"/>
    <w:rsid w:val="008B6766"/>
    <w:rsid w:val="008B6955"/>
    <w:rsid w:val="008B7B70"/>
    <w:rsid w:val="008C06BA"/>
    <w:rsid w:val="008C317A"/>
    <w:rsid w:val="008C4189"/>
    <w:rsid w:val="008C62B5"/>
    <w:rsid w:val="008C6824"/>
    <w:rsid w:val="008D1B3F"/>
    <w:rsid w:val="008D368E"/>
    <w:rsid w:val="008E19DA"/>
    <w:rsid w:val="008E21AB"/>
    <w:rsid w:val="008E2257"/>
    <w:rsid w:val="008E3D7C"/>
    <w:rsid w:val="008E44DD"/>
    <w:rsid w:val="008E493B"/>
    <w:rsid w:val="008E49AB"/>
    <w:rsid w:val="008E6252"/>
    <w:rsid w:val="008E755A"/>
    <w:rsid w:val="008E7637"/>
    <w:rsid w:val="008E77F7"/>
    <w:rsid w:val="008F01AE"/>
    <w:rsid w:val="008F0D08"/>
    <w:rsid w:val="008F1314"/>
    <w:rsid w:val="008F518D"/>
    <w:rsid w:val="008F6D3B"/>
    <w:rsid w:val="008F71DA"/>
    <w:rsid w:val="00901C2A"/>
    <w:rsid w:val="009020CA"/>
    <w:rsid w:val="00902739"/>
    <w:rsid w:val="0090530B"/>
    <w:rsid w:val="00905B24"/>
    <w:rsid w:val="00905D97"/>
    <w:rsid w:val="00906AFA"/>
    <w:rsid w:val="009109B7"/>
    <w:rsid w:val="0091218E"/>
    <w:rsid w:val="009137B8"/>
    <w:rsid w:val="00914370"/>
    <w:rsid w:val="009146F9"/>
    <w:rsid w:val="00914EA6"/>
    <w:rsid w:val="0091515E"/>
    <w:rsid w:val="00921D9A"/>
    <w:rsid w:val="00922693"/>
    <w:rsid w:val="00924BC1"/>
    <w:rsid w:val="009260A2"/>
    <w:rsid w:val="0092668E"/>
    <w:rsid w:val="00934A7E"/>
    <w:rsid w:val="00935204"/>
    <w:rsid w:val="00936B71"/>
    <w:rsid w:val="00940830"/>
    <w:rsid w:val="00941F8A"/>
    <w:rsid w:val="00942247"/>
    <w:rsid w:val="009433F2"/>
    <w:rsid w:val="00944D1E"/>
    <w:rsid w:val="009463DF"/>
    <w:rsid w:val="00951B0C"/>
    <w:rsid w:val="009524A1"/>
    <w:rsid w:val="0095283F"/>
    <w:rsid w:val="00954757"/>
    <w:rsid w:val="00956A0F"/>
    <w:rsid w:val="00956E18"/>
    <w:rsid w:val="00957CF1"/>
    <w:rsid w:val="00957EE2"/>
    <w:rsid w:val="009627BD"/>
    <w:rsid w:val="0096598D"/>
    <w:rsid w:val="00965CDE"/>
    <w:rsid w:val="00966379"/>
    <w:rsid w:val="009673B5"/>
    <w:rsid w:val="00967ADE"/>
    <w:rsid w:val="00967B9C"/>
    <w:rsid w:val="00973D22"/>
    <w:rsid w:val="00976F96"/>
    <w:rsid w:val="0098089B"/>
    <w:rsid w:val="00980F25"/>
    <w:rsid w:val="00981165"/>
    <w:rsid w:val="00981FFA"/>
    <w:rsid w:val="0098239D"/>
    <w:rsid w:val="00983ACA"/>
    <w:rsid w:val="00986512"/>
    <w:rsid w:val="009901D7"/>
    <w:rsid w:val="009910B2"/>
    <w:rsid w:val="00991B3D"/>
    <w:rsid w:val="00995453"/>
    <w:rsid w:val="009965DA"/>
    <w:rsid w:val="009A4C53"/>
    <w:rsid w:val="009A5A15"/>
    <w:rsid w:val="009A6C57"/>
    <w:rsid w:val="009B2A8F"/>
    <w:rsid w:val="009B6B13"/>
    <w:rsid w:val="009C0511"/>
    <w:rsid w:val="009C153E"/>
    <w:rsid w:val="009C22E8"/>
    <w:rsid w:val="009C378B"/>
    <w:rsid w:val="009C412A"/>
    <w:rsid w:val="009C63B7"/>
    <w:rsid w:val="009D160F"/>
    <w:rsid w:val="009D3AB5"/>
    <w:rsid w:val="009D3EA0"/>
    <w:rsid w:val="009D589D"/>
    <w:rsid w:val="009D7A01"/>
    <w:rsid w:val="009E1010"/>
    <w:rsid w:val="009E1EE4"/>
    <w:rsid w:val="009E2722"/>
    <w:rsid w:val="009E2E28"/>
    <w:rsid w:val="009E2F3F"/>
    <w:rsid w:val="009E385F"/>
    <w:rsid w:val="009E5C97"/>
    <w:rsid w:val="009E61A8"/>
    <w:rsid w:val="009E67CB"/>
    <w:rsid w:val="009F14CE"/>
    <w:rsid w:val="009F2950"/>
    <w:rsid w:val="009F5598"/>
    <w:rsid w:val="009F61F5"/>
    <w:rsid w:val="009F79E2"/>
    <w:rsid w:val="009F7E83"/>
    <w:rsid w:val="00A02EC6"/>
    <w:rsid w:val="00A07106"/>
    <w:rsid w:val="00A12338"/>
    <w:rsid w:val="00A14490"/>
    <w:rsid w:val="00A166AD"/>
    <w:rsid w:val="00A16EFE"/>
    <w:rsid w:val="00A20757"/>
    <w:rsid w:val="00A214D5"/>
    <w:rsid w:val="00A22D94"/>
    <w:rsid w:val="00A25CE2"/>
    <w:rsid w:val="00A30C17"/>
    <w:rsid w:val="00A31572"/>
    <w:rsid w:val="00A34571"/>
    <w:rsid w:val="00A3464E"/>
    <w:rsid w:val="00A35935"/>
    <w:rsid w:val="00A37659"/>
    <w:rsid w:val="00A44AC0"/>
    <w:rsid w:val="00A468A1"/>
    <w:rsid w:val="00A47CC0"/>
    <w:rsid w:val="00A514E8"/>
    <w:rsid w:val="00A53005"/>
    <w:rsid w:val="00A538A7"/>
    <w:rsid w:val="00A54D63"/>
    <w:rsid w:val="00A56A48"/>
    <w:rsid w:val="00A57ABC"/>
    <w:rsid w:val="00A62BF3"/>
    <w:rsid w:val="00A63019"/>
    <w:rsid w:val="00A633D5"/>
    <w:rsid w:val="00A6730F"/>
    <w:rsid w:val="00A70DA5"/>
    <w:rsid w:val="00A719F8"/>
    <w:rsid w:val="00A72AD9"/>
    <w:rsid w:val="00A80AB3"/>
    <w:rsid w:val="00A80B58"/>
    <w:rsid w:val="00A8195D"/>
    <w:rsid w:val="00A81E04"/>
    <w:rsid w:val="00A8206E"/>
    <w:rsid w:val="00A821CF"/>
    <w:rsid w:val="00A82FA7"/>
    <w:rsid w:val="00A8441F"/>
    <w:rsid w:val="00A86F51"/>
    <w:rsid w:val="00A874C7"/>
    <w:rsid w:val="00A87A51"/>
    <w:rsid w:val="00A953AB"/>
    <w:rsid w:val="00A97509"/>
    <w:rsid w:val="00AA041F"/>
    <w:rsid w:val="00AA119F"/>
    <w:rsid w:val="00AA2A94"/>
    <w:rsid w:val="00AB02E2"/>
    <w:rsid w:val="00AB3DFB"/>
    <w:rsid w:val="00AB59BA"/>
    <w:rsid w:val="00AB70FB"/>
    <w:rsid w:val="00AB7470"/>
    <w:rsid w:val="00AC0C31"/>
    <w:rsid w:val="00AC203A"/>
    <w:rsid w:val="00AC225C"/>
    <w:rsid w:val="00AC3889"/>
    <w:rsid w:val="00AC59FB"/>
    <w:rsid w:val="00AC5FCB"/>
    <w:rsid w:val="00AC7D59"/>
    <w:rsid w:val="00AD002D"/>
    <w:rsid w:val="00AD0FCA"/>
    <w:rsid w:val="00AD227D"/>
    <w:rsid w:val="00AD2FEA"/>
    <w:rsid w:val="00AD32DA"/>
    <w:rsid w:val="00AE0923"/>
    <w:rsid w:val="00AE2FEC"/>
    <w:rsid w:val="00AE505F"/>
    <w:rsid w:val="00AE7308"/>
    <w:rsid w:val="00AF23CE"/>
    <w:rsid w:val="00AF6525"/>
    <w:rsid w:val="00AF7B5A"/>
    <w:rsid w:val="00B0307F"/>
    <w:rsid w:val="00B05303"/>
    <w:rsid w:val="00B05C39"/>
    <w:rsid w:val="00B05E53"/>
    <w:rsid w:val="00B05FA1"/>
    <w:rsid w:val="00B06B4C"/>
    <w:rsid w:val="00B12167"/>
    <w:rsid w:val="00B124C1"/>
    <w:rsid w:val="00B13059"/>
    <w:rsid w:val="00B13065"/>
    <w:rsid w:val="00B136C6"/>
    <w:rsid w:val="00B138F4"/>
    <w:rsid w:val="00B14E05"/>
    <w:rsid w:val="00B2205E"/>
    <w:rsid w:val="00B236D5"/>
    <w:rsid w:val="00B23FF7"/>
    <w:rsid w:val="00B24ECF"/>
    <w:rsid w:val="00B27CAF"/>
    <w:rsid w:val="00B31C69"/>
    <w:rsid w:val="00B357F2"/>
    <w:rsid w:val="00B41F83"/>
    <w:rsid w:val="00B42F7A"/>
    <w:rsid w:val="00B430F5"/>
    <w:rsid w:val="00B44D42"/>
    <w:rsid w:val="00B467F5"/>
    <w:rsid w:val="00B50776"/>
    <w:rsid w:val="00B51044"/>
    <w:rsid w:val="00B51244"/>
    <w:rsid w:val="00B525E2"/>
    <w:rsid w:val="00B5295D"/>
    <w:rsid w:val="00B5334F"/>
    <w:rsid w:val="00B5441A"/>
    <w:rsid w:val="00B54B0F"/>
    <w:rsid w:val="00B54DE3"/>
    <w:rsid w:val="00B55971"/>
    <w:rsid w:val="00B55A07"/>
    <w:rsid w:val="00B55AAA"/>
    <w:rsid w:val="00B55DD6"/>
    <w:rsid w:val="00B56647"/>
    <w:rsid w:val="00B56763"/>
    <w:rsid w:val="00B6049D"/>
    <w:rsid w:val="00B61294"/>
    <w:rsid w:val="00B6360E"/>
    <w:rsid w:val="00B63D8B"/>
    <w:rsid w:val="00B679AA"/>
    <w:rsid w:val="00B705AD"/>
    <w:rsid w:val="00B70925"/>
    <w:rsid w:val="00B71595"/>
    <w:rsid w:val="00B726CE"/>
    <w:rsid w:val="00B736BD"/>
    <w:rsid w:val="00B74619"/>
    <w:rsid w:val="00B7508E"/>
    <w:rsid w:val="00B76BFF"/>
    <w:rsid w:val="00B8213E"/>
    <w:rsid w:val="00B83EA4"/>
    <w:rsid w:val="00B84816"/>
    <w:rsid w:val="00B853F9"/>
    <w:rsid w:val="00B90895"/>
    <w:rsid w:val="00B90EE8"/>
    <w:rsid w:val="00B9137B"/>
    <w:rsid w:val="00B91BC2"/>
    <w:rsid w:val="00B91F2D"/>
    <w:rsid w:val="00B92090"/>
    <w:rsid w:val="00B9409E"/>
    <w:rsid w:val="00B94517"/>
    <w:rsid w:val="00B9537A"/>
    <w:rsid w:val="00B96C3E"/>
    <w:rsid w:val="00B97109"/>
    <w:rsid w:val="00BA069B"/>
    <w:rsid w:val="00BA1522"/>
    <w:rsid w:val="00BA1A76"/>
    <w:rsid w:val="00BA422A"/>
    <w:rsid w:val="00BA4EC9"/>
    <w:rsid w:val="00BA7778"/>
    <w:rsid w:val="00BB13A5"/>
    <w:rsid w:val="00BB3188"/>
    <w:rsid w:val="00BB7A1D"/>
    <w:rsid w:val="00BB7B46"/>
    <w:rsid w:val="00BC18E8"/>
    <w:rsid w:val="00BC407D"/>
    <w:rsid w:val="00BC5ABB"/>
    <w:rsid w:val="00BC7843"/>
    <w:rsid w:val="00BD3C6E"/>
    <w:rsid w:val="00BE05AB"/>
    <w:rsid w:val="00BE39AB"/>
    <w:rsid w:val="00BE6BD0"/>
    <w:rsid w:val="00BE780B"/>
    <w:rsid w:val="00BF0E9E"/>
    <w:rsid w:val="00BF269E"/>
    <w:rsid w:val="00BF3025"/>
    <w:rsid w:val="00BF3758"/>
    <w:rsid w:val="00BF4BBD"/>
    <w:rsid w:val="00BF6965"/>
    <w:rsid w:val="00BF6C5B"/>
    <w:rsid w:val="00C0016F"/>
    <w:rsid w:val="00C0148E"/>
    <w:rsid w:val="00C03555"/>
    <w:rsid w:val="00C0385C"/>
    <w:rsid w:val="00C055F3"/>
    <w:rsid w:val="00C06545"/>
    <w:rsid w:val="00C06DDA"/>
    <w:rsid w:val="00C06DFE"/>
    <w:rsid w:val="00C10280"/>
    <w:rsid w:val="00C1173A"/>
    <w:rsid w:val="00C145AE"/>
    <w:rsid w:val="00C146F1"/>
    <w:rsid w:val="00C1635C"/>
    <w:rsid w:val="00C16B63"/>
    <w:rsid w:val="00C16FAE"/>
    <w:rsid w:val="00C232B9"/>
    <w:rsid w:val="00C300E8"/>
    <w:rsid w:val="00C30132"/>
    <w:rsid w:val="00C32E48"/>
    <w:rsid w:val="00C3408B"/>
    <w:rsid w:val="00C348D4"/>
    <w:rsid w:val="00C40E9A"/>
    <w:rsid w:val="00C40FFC"/>
    <w:rsid w:val="00C50E68"/>
    <w:rsid w:val="00C5176A"/>
    <w:rsid w:val="00C53E96"/>
    <w:rsid w:val="00C56932"/>
    <w:rsid w:val="00C57E78"/>
    <w:rsid w:val="00C613FE"/>
    <w:rsid w:val="00C63D12"/>
    <w:rsid w:val="00C64D2B"/>
    <w:rsid w:val="00C653BE"/>
    <w:rsid w:val="00C65A89"/>
    <w:rsid w:val="00C70829"/>
    <w:rsid w:val="00C74939"/>
    <w:rsid w:val="00C83BB3"/>
    <w:rsid w:val="00C840BA"/>
    <w:rsid w:val="00C925E9"/>
    <w:rsid w:val="00C93915"/>
    <w:rsid w:val="00C9437F"/>
    <w:rsid w:val="00C94791"/>
    <w:rsid w:val="00C976AE"/>
    <w:rsid w:val="00CA0293"/>
    <w:rsid w:val="00CA094E"/>
    <w:rsid w:val="00CA22DA"/>
    <w:rsid w:val="00CA2ED4"/>
    <w:rsid w:val="00CA4B72"/>
    <w:rsid w:val="00CB1097"/>
    <w:rsid w:val="00CB1BF8"/>
    <w:rsid w:val="00CB2457"/>
    <w:rsid w:val="00CC03F6"/>
    <w:rsid w:val="00CC0609"/>
    <w:rsid w:val="00CC0D80"/>
    <w:rsid w:val="00CC2D6F"/>
    <w:rsid w:val="00CC4325"/>
    <w:rsid w:val="00CC4579"/>
    <w:rsid w:val="00CC696E"/>
    <w:rsid w:val="00CC76D0"/>
    <w:rsid w:val="00CD07CB"/>
    <w:rsid w:val="00CD0B61"/>
    <w:rsid w:val="00CD17D9"/>
    <w:rsid w:val="00CD1C49"/>
    <w:rsid w:val="00CD338C"/>
    <w:rsid w:val="00CD4962"/>
    <w:rsid w:val="00CD5B91"/>
    <w:rsid w:val="00CD72C7"/>
    <w:rsid w:val="00CD7661"/>
    <w:rsid w:val="00CE21E8"/>
    <w:rsid w:val="00CE45A4"/>
    <w:rsid w:val="00CE678A"/>
    <w:rsid w:val="00CE75C2"/>
    <w:rsid w:val="00CF2734"/>
    <w:rsid w:val="00CF342A"/>
    <w:rsid w:val="00CF47D2"/>
    <w:rsid w:val="00CF4CE8"/>
    <w:rsid w:val="00CF5CCD"/>
    <w:rsid w:val="00CF5D06"/>
    <w:rsid w:val="00CF664A"/>
    <w:rsid w:val="00D015BD"/>
    <w:rsid w:val="00D05E13"/>
    <w:rsid w:val="00D13CCD"/>
    <w:rsid w:val="00D161E0"/>
    <w:rsid w:val="00D21341"/>
    <w:rsid w:val="00D2168A"/>
    <w:rsid w:val="00D2183C"/>
    <w:rsid w:val="00D2294F"/>
    <w:rsid w:val="00D22D76"/>
    <w:rsid w:val="00D23A21"/>
    <w:rsid w:val="00D24653"/>
    <w:rsid w:val="00D24D37"/>
    <w:rsid w:val="00D25A0D"/>
    <w:rsid w:val="00D2662C"/>
    <w:rsid w:val="00D3074F"/>
    <w:rsid w:val="00D309B4"/>
    <w:rsid w:val="00D323B2"/>
    <w:rsid w:val="00D32DF7"/>
    <w:rsid w:val="00D34AD2"/>
    <w:rsid w:val="00D40ABF"/>
    <w:rsid w:val="00D5264F"/>
    <w:rsid w:val="00D52C09"/>
    <w:rsid w:val="00D56691"/>
    <w:rsid w:val="00D63AE3"/>
    <w:rsid w:val="00D64E0A"/>
    <w:rsid w:val="00D66CE7"/>
    <w:rsid w:val="00D66E87"/>
    <w:rsid w:val="00D72DE2"/>
    <w:rsid w:val="00D73256"/>
    <w:rsid w:val="00D738A3"/>
    <w:rsid w:val="00D75C2B"/>
    <w:rsid w:val="00D76247"/>
    <w:rsid w:val="00D770ED"/>
    <w:rsid w:val="00D77C4A"/>
    <w:rsid w:val="00D815CC"/>
    <w:rsid w:val="00D84681"/>
    <w:rsid w:val="00D858DD"/>
    <w:rsid w:val="00D85BEF"/>
    <w:rsid w:val="00D87EA9"/>
    <w:rsid w:val="00D903B3"/>
    <w:rsid w:val="00D9100C"/>
    <w:rsid w:val="00D92A58"/>
    <w:rsid w:val="00D92FCF"/>
    <w:rsid w:val="00D942A2"/>
    <w:rsid w:val="00D94DA5"/>
    <w:rsid w:val="00D96FF9"/>
    <w:rsid w:val="00DA0DFA"/>
    <w:rsid w:val="00DA1BA0"/>
    <w:rsid w:val="00DA31ED"/>
    <w:rsid w:val="00DA4556"/>
    <w:rsid w:val="00DA7260"/>
    <w:rsid w:val="00DA7E4A"/>
    <w:rsid w:val="00DB0260"/>
    <w:rsid w:val="00DB264D"/>
    <w:rsid w:val="00DB5B8F"/>
    <w:rsid w:val="00DB5DD0"/>
    <w:rsid w:val="00DC0BE5"/>
    <w:rsid w:val="00DC1B1D"/>
    <w:rsid w:val="00DC4238"/>
    <w:rsid w:val="00DD25C3"/>
    <w:rsid w:val="00DD3362"/>
    <w:rsid w:val="00DD7132"/>
    <w:rsid w:val="00DD714D"/>
    <w:rsid w:val="00DE2E1A"/>
    <w:rsid w:val="00DE51D6"/>
    <w:rsid w:val="00DE52C1"/>
    <w:rsid w:val="00DE63D3"/>
    <w:rsid w:val="00E00F69"/>
    <w:rsid w:val="00E068E5"/>
    <w:rsid w:val="00E074B4"/>
    <w:rsid w:val="00E12951"/>
    <w:rsid w:val="00E13798"/>
    <w:rsid w:val="00E16B5F"/>
    <w:rsid w:val="00E175CE"/>
    <w:rsid w:val="00E17745"/>
    <w:rsid w:val="00E17F5C"/>
    <w:rsid w:val="00E21162"/>
    <w:rsid w:val="00E2349E"/>
    <w:rsid w:val="00E247FC"/>
    <w:rsid w:val="00E24C7E"/>
    <w:rsid w:val="00E25B1B"/>
    <w:rsid w:val="00E270AF"/>
    <w:rsid w:val="00E315C8"/>
    <w:rsid w:val="00E32466"/>
    <w:rsid w:val="00E329D9"/>
    <w:rsid w:val="00E35356"/>
    <w:rsid w:val="00E361F6"/>
    <w:rsid w:val="00E36246"/>
    <w:rsid w:val="00E3716F"/>
    <w:rsid w:val="00E41357"/>
    <w:rsid w:val="00E4136B"/>
    <w:rsid w:val="00E41FA8"/>
    <w:rsid w:val="00E432C1"/>
    <w:rsid w:val="00E43EDD"/>
    <w:rsid w:val="00E44831"/>
    <w:rsid w:val="00E461EF"/>
    <w:rsid w:val="00E477AC"/>
    <w:rsid w:val="00E50276"/>
    <w:rsid w:val="00E513C4"/>
    <w:rsid w:val="00E61125"/>
    <w:rsid w:val="00E61A81"/>
    <w:rsid w:val="00E64248"/>
    <w:rsid w:val="00E644AC"/>
    <w:rsid w:val="00E65AC5"/>
    <w:rsid w:val="00E6632A"/>
    <w:rsid w:val="00E72F63"/>
    <w:rsid w:val="00E7500F"/>
    <w:rsid w:val="00E8242D"/>
    <w:rsid w:val="00E82CE9"/>
    <w:rsid w:val="00E857EE"/>
    <w:rsid w:val="00E85B64"/>
    <w:rsid w:val="00E8620C"/>
    <w:rsid w:val="00E87993"/>
    <w:rsid w:val="00E90133"/>
    <w:rsid w:val="00E94F23"/>
    <w:rsid w:val="00E95046"/>
    <w:rsid w:val="00E9509D"/>
    <w:rsid w:val="00E9636C"/>
    <w:rsid w:val="00EA00B5"/>
    <w:rsid w:val="00EA18F4"/>
    <w:rsid w:val="00EA1F62"/>
    <w:rsid w:val="00EA2D7A"/>
    <w:rsid w:val="00EA428A"/>
    <w:rsid w:val="00EA49BC"/>
    <w:rsid w:val="00EA521E"/>
    <w:rsid w:val="00EA5AAD"/>
    <w:rsid w:val="00EA5C6A"/>
    <w:rsid w:val="00EB03AD"/>
    <w:rsid w:val="00EB0CDA"/>
    <w:rsid w:val="00EB24B0"/>
    <w:rsid w:val="00EB304C"/>
    <w:rsid w:val="00EB305B"/>
    <w:rsid w:val="00EB46FD"/>
    <w:rsid w:val="00EB4B7F"/>
    <w:rsid w:val="00EC1232"/>
    <w:rsid w:val="00EC1E75"/>
    <w:rsid w:val="00EC61BB"/>
    <w:rsid w:val="00EC6FC8"/>
    <w:rsid w:val="00EC7B38"/>
    <w:rsid w:val="00ED1B8C"/>
    <w:rsid w:val="00ED1F7A"/>
    <w:rsid w:val="00ED31D4"/>
    <w:rsid w:val="00ED3A67"/>
    <w:rsid w:val="00ED3E4D"/>
    <w:rsid w:val="00ED45B7"/>
    <w:rsid w:val="00ED5916"/>
    <w:rsid w:val="00ED6021"/>
    <w:rsid w:val="00ED625F"/>
    <w:rsid w:val="00ED67F3"/>
    <w:rsid w:val="00ED6C8A"/>
    <w:rsid w:val="00EE0F5C"/>
    <w:rsid w:val="00EE189E"/>
    <w:rsid w:val="00EE4A03"/>
    <w:rsid w:val="00EE5B41"/>
    <w:rsid w:val="00EF1F0A"/>
    <w:rsid w:val="00EF2EC4"/>
    <w:rsid w:val="00EF4025"/>
    <w:rsid w:val="00EF410A"/>
    <w:rsid w:val="00EF56E2"/>
    <w:rsid w:val="00F021F2"/>
    <w:rsid w:val="00F04E78"/>
    <w:rsid w:val="00F06662"/>
    <w:rsid w:val="00F06992"/>
    <w:rsid w:val="00F105C6"/>
    <w:rsid w:val="00F10BDC"/>
    <w:rsid w:val="00F10DC4"/>
    <w:rsid w:val="00F10EF3"/>
    <w:rsid w:val="00F11179"/>
    <w:rsid w:val="00F11E62"/>
    <w:rsid w:val="00F12BFE"/>
    <w:rsid w:val="00F172F8"/>
    <w:rsid w:val="00F21C3B"/>
    <w:rsid w:val="00F2292B"/>
    <w:rsid w:val="00F23279"/>
    <w:rsid w:val="00F24C85"/>
    <w:rsid w:val="00F25D9D"/>
    <w:rsid w:val="00F278D0"/>
    <w:rsid w:val="00F3097D"/>
    <w:rsid w:val="00F3323A"/>
    <w:rsid w:val="00F345B5"/>
    <w:rsid w:val="00F34964"/>
    <w:rsid w:val="00F36C1A"/>
    <w:rsid w:val="00F378D4"/>
    <w:rsid w:val="00F4123D"/>
    <w:rsid w:val="00F41A38"/>
    <w:rsid w:val="00F41AD7"/>
    <w:rsid w:val="00F435F5"/>
    <w:rsid w:val="00F43CC3"/>
    <w:rsid w:val="00F43CCA"/>
    <w:rsid w:val="00F43F02"/>
    <w:rsid w:val="00F43F87"/>
    <w:rsid w:val="00F47691"/>
    <w:rsid w:val="00F50926"/>
    <w:rsid w:val="00F51B9D"/>
    <w:rsid w:val="00F51CE0"/>
    <w:rsid w:val="00F5288D"/>
    <w:rsid w:val="00F5300C"/>
    <w:rsid w:val="00F573EC"/>
    <w:rsid w:val="00F57DAE"/>
    <w:rsid w:val="00F61E22"/>
    <w:rsid w:val="00F637C6"/>
    <w:rsid w:val="00F64CCE"/>
    <w:rsid w:val="00F66EF6"/>
    <w:rsid w:val="00F677EC"/>
    <w:rsid w:val="00F67ADB"/>
    <w:rsid w:val="00F70DD7"/>
    <w:rsid w:val="00F71FB6"/>
    <w:rsid w:val="00F72ADD"/>
    <w:rsid w:val="00F74750"/>
    <w:rsid w:val="00F748B2"/>
    <w:rsid w:val="00F7579E"/>
    <w:rsid w:val="00F757F2"/>
    <w:rsid w:val="00F759B4"/>
    <w:rsid w:val="00F77442"/>
    <w:rsid w:val="00F810C4"/>
    <w:rsid w:val="00F81823"/>
    <w:rsid w:val="00F81DBD"/>
    <w:rsid w:val="00F861FC"/>
    <w:rsid w:val="00F90F22"/>
    <w:rsid w:val="00F91D12"/>
    <w:rsid w:val="00F93F1F"/>
    <w:rsid w:val="00F97C37"/>
    <w:rsid w:val="00F97E3D"/>
    <w:rsid w:val="00FA281A"/>
    <w:rsid w:val="00FA41F3"/>
    <w:rsid w:val="00FA4690"/>
    <w:rsid w:val="00FA5E58"/>
    <w:rsid w:val="00FA68BA"/>
    <w:rsid w:val="00FA71B9"/>
    <w:rsid w:val="00FB4164"/>
    <w:rsid w:val="00FB63E0"/>
    <w:rsid w:val="00FB7C8F"/>
    <w:rsid w:val="00FC0427"/>
    <w:rsid w:val="00FC11C4"/>
    <w:rsid w:val="00FC1BF0"/>
    <w:rsid w:val="00FC4B0F"/>
    <w:rsid w:val="00FC6160"/>
    <w:rsid w:val="00FC7411"/>
    <w:rsid w:val="00FD0A5C"/>
    <w:rsid w:val="00FD165D"/>
    <w:rsid w:val="00FD2571"/>
    <w:rsid w:val="00FD4DD0"/>
    <w:rsid w:val="00FD6FA0"/>
    <w:rsid w:val="00FE080B"/>
    <w:rsid w:val="00FE25B2"/>
    <w:rsid w:val="00FE3C3B"/>
    <w:rsid w:val="00FE4E69"/>
    <w:rsid w:val="00FF1539"/>
    <w:rsid w:val="00FF169A"/>
    <w:rsid w:val="00FF4219"/>
    <w:rsid w:val="00FF6E72"/>
    <w:rsid w:val="00FF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E6D59-910D-416B-A6AC-3E1CFDE0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EE0"/>
    <w:pPr>
      <w:spacing w:after="0" w:line="240" w:lineRule="auto"/>
    </w:pPr>
    <w:rPr>
      <w:sz w:val="24"/>
      <w:szCs w:val="24"/>
      <w:lang w:val="es-ES_tradnl"/>
    </w:rPr>
  </w:style>
  <w:style w:type="paragraph" w:styleId="Ttulo1">
    <w:name w:val="heading 1"/>
    <w:basedOn w:val="Normal"/>
    <w:next w:val="Normal"/>
    <w:link w:val="Ttulo1Car"/>
    <w:uiPriority w:val="9"/>
    <w:qFormat/>
    <w:rsid w:val="007B15FD"/>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421A"/>
    <w:pPr>
      <w:ind w:left="720"/>
      <w:contextualSpacing/>
    </w:pPr>
  </w:style>
  <w:style w:type="paragraph" w:styleId="Encabezado">
    <w:name w:val="header"/>
    <w:basedOn w:val="Normal"/>
    <w:link w:val="EncabezadoCar"/>
    <w:uiPriority w:val="99"/>
    <w:unhideWhenUsed/>
    <w:rsid w:val="002E421A"/>
    <w:pPr>
      <w:tabs>
        <w:tab w:val="center" w:pos="4419"/>
        <w:tab w:val="right" w:pos="8838"/>
      </w:tabs>
    </w:pPr>
  </w:style>
  <w:style w:type="character" w:customStyle="1" w:styleId="EncabezadoCar">
    <w:name w:val="Encabezado Car"/>
    <w:basedOn w:val="Fuentedeprrafopredeter"/>
    <w:link w:val="Encabezado"/>
    <w:uiPriority w:val="99"/>
    <w:rsid w:val="002E421A"/>
  </w:style>
  <w:style w:type="paragraph" w:styleId="Piedepgina">
    <w:name w:val="footer"/>
    <w:basedOn w:val="Normal"/>
    <w:link w:val="PiedepginaCar"/>
    <w:uiPriority w:val="99"/>
    <w:unhideWhenUsed/>
    <w:rsid w:val="002E421A"/>
    <w:pPr>
      <w:tabs>
        <w:tab w:val="center" w:pos="4419"/>
        <w:tab w:val="right" w:pos="8838"/>
      </w:tabs>
    </w:pPr>
  </w:style>
  <w:style w:type="character" w:customStyle="1" w:styleId="PiedepginaCar">
    <w:name w:val="Pie de página Car"/>
    <w:basedOn w:val="Fuentedeprrafopredeter"/>
    <w:link w:val="Piedepgina"/>
    <w:uiPriority w:val="99"/>
    <w:rsid w:val="002E421A"/>
  </w:style>
  <w:style w:type="paragraph" w:styleId="Sinespaciado">
    <w:name w:val="No Spacing"/>
    <w:uiPriority w:val="1"/>
    <w:qFormat/>
    <w:rsid w:val="002E421A"/>
    <w:pPr>
      <w:spacing w:after="0" w:line="240" w:lineRule="auto"/>
    </w:pPr>
  </w:style>
  <w:style w:type="character" w:styleId="Hipervnculo">
    <w:name w:val="Hyperlink"/>
    <w:basedOn w:val="Fuentedeprrafopredeter"/>
    <w:uiPriority w:val="99"/>
    <w:unhideWhenUsed/>
    <w:rsid w:val="002E421A"/>
    <w:rPr>
      <w:color w:val="0563C1" w:themeColor="hyperlink"/>
      <w:u w:val="single"/>
    </w:rPr>
  </w:style>
  <w:style w:type="paragraph" w:styleId="Textonotapie">
    <w:name w:val="footnote text"/>
    <w:basedOn w:val="Normal"/>
    <w:link w:val="TextonotapieCar"/>
    <w:uiPriority w:val="99"/>
    <w:semiHidden/>
    <w:unhideWhenUsed/>
    <w:rsid w:val="00ED625F"/>
    <w:rPr>
      <w:sz w:val="20"/>
      <w:szCs w:val="20"/>
    </w:rPr>
  </w:style>
  <w:style w:type="character" w:customStyle="1" w:styleId="TextonotapieCar">
    <w:name w:val="Texto nota pie Car"/>
    <w:basedOn w:val="Fuentedeprrafopredeter"/>
    <w:link w:val="Textonotapie"/>
    <w:uiPriority w:val="99"/>
    <w:semiHidden/>
    <w:rsid w:val="00ED625F"/>
    <w:rPr>
      <w:sz w:val="20"/>
      <w:szCs w:val="20"/>
      <w:lang w:val="es-ES_tradnl"/>
    </w:rPr>
  </w:style>
  <w:style w:type="character" w:styleId="Refdenotaalpie">
    <w:name w:val="footnote reference"/>
    <w:basedOn w:val="Fuentedeprrafopredeter"/>
    <w:uiPriority w:val="99"/>
    <w:semiHidden/>
    <w:unhideWhenUsed/>
    <w:rsid w:val="00ED625F"/>
    <w:rPr>
      <w:vertAlign w:val="superscript"/>
    </w:rPr>
  </w:style>
  <w:style w:type="paragraph" w:styleId="NormalWeb">
    <w:name w:val="Normal (Web)"/>
    <w:basedOn w:val="Normal"/>
    <w:uiPriority w:val="99"/>
    <w:unhideWhenUsed/>
    <w:rsid w:val="00ED625F"/>
    <w:pPr>
      <w:spacing w:before="100" w:beforeAutospacing="1" w:after="100" w:afterAutospacing="1"/>
    </w:pPr>
    <w:rPr>
      <w:rFonts w:ascii="Times New Roman" w:eastAsia="Times New Roman" w:hAnsi="Times New Roman" w:cs="Times New Roman"/>
      <w:lang w:eastAsia="es-CO"/>
    </w:rPr>
  </w:style>
  <w:style w:type="table" w:styleId="Tablaconcuadrcula">
    <w:name w:val="Table Grid"/>
    <w:basedOn w:val="Tablanormal"/>
    <w:uiPriority w:val="39"/>
    <w:rsid w:val="007A7EE0"/>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B15FD"/>
    <w:rPr>
      <w:rFonts w:asciiTheme="majorHAnsi" w:eastAsiaTheme="majorEastAsia" w:hAnsiTheme="majorHAnsi" w:cstheme="majorBidi"/>
      <w:color w:val="2E74B5" w:themeColor="accent1" w:themeShade="BF"/>
      <w:sz w:val="32"/>
      <w:szCs w:val="32"/>
      <w:lang w:eastAsia="es-CO"/>
    </w:rPr>
  </w:style>
  <w:style w:type="paragraph" w:customStyle="1" w:styleId="centrado">
    <w:name w:val="centrado"/>
    <w:basedOn w:val="Normal"/>
    <w:rsid w:val="00D87EA9"/>
    <w:pPr>
      <w:spacing w:before="100" w:beforeAutospacing="1" w:after="100" w:afterAutospacing="1"/>
    </w:pPr>
    <w:rPr>
      <w:rFonts w:ascii="Times New Roman" w:eastAsia="Times New Roman" w:hAnsi="Times New Roman" w:cs="Times New Roman"/>
      <w:lang w:val="es-CO" w:eastAsia="es-CO"/>
    </w:rPr>
  </w:style>
  <w:style w:type="paragraph" w:styleId="Descripcin">
    <w:name w:val="caption"/>
    <w:basedOn w:val="Normal"/>
    <w:next w:val="Normal"/>
    <w:uiPriority w:val="35"/>
    <w:semiHidden/>
    <w:unhideWhenUsed/>
    <w:qFormat/>
    <w:rsid w:val="00D87EA9"/>
    <w:pPr>
      <w:spacing w:after="200"/>
    </w:pPr>
    <w:rPr>
      <w:i/>
      <w:iCs/>
      <w:color w:val="44546A" w:themeColor="text2"/>
      <w:sz w:val="18"/>
      <w:szCs w:val="18"/>
      <w:lang w:val="es-CO"/>
    </w:rPr>
  </w:style>
  <w:style w:type="paragraph" w:customStyle="1" w:styleId="Default">
    <w:name w:val="Default"/>
    <w:rsid w:val="00D87EA9"/>
    <w:pPr>
      <w:autoSpaceDE w:val="0"/>
      <w:autoSpaceDN w:val="0"/>
      <w:adjustRightInd w:val="0"/>
      <w:spacing w:after="0" w:line="240" w:lineRule="auto"/>
    </w:pPr>
    <w:rPr>
      <w:rFonts w:ascii="Verdana" w:hAnsi="Verdana" w:cs="Verdana"/>
      <w:color w:val="000000"/>
      <w:sz w:val="24"/>
      <w:szCs w:val="24"/>
    </w:rPr>
  </w:style>
  <w:style w:type="paragraph" w:styleId="Bibliografa">
    <w:name w:val="Bibliography"/>
    <w:basedOn w:val="Normal"/>
    <w:next w:val="Normal"/>
    <w:uiPriority w:val="37"/>
    <w:unhideWhenUsed/>
    <w:rsid w:val="00D87EA9"/>
    <w:pPr>
      <w:spacing w:after="160" w:line="259" w:lineRule="auto"/>
    </w:pPr>
    <w:rPr>
      <w:sz w:val="22"/>
      <w:szCs w:val="22"/>
      <w:lang w:val="es-CO"/>
    </w:rPr>
  </w:style>
  <w:style w:type="paragraph" w:styleId="Textodeglobo">
    <w:name w:val="Balloon Text"/>
    <w:basedOn w:val="Normal"/>
    <w:link w:val="TextodegloboCar"/>
    <w:uiPriority w:val="99"/>
    <w:semiHidden/>
    <w:unhideWhenUsed/>
    <w:rsid w:val="00AF23C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23CE"/>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39229">
      <w:bodyDiv w:val="1"/>
      <w:marLeft w:val="0"/>
      <w:marRight w:val="0"/>
      <w:marTop w:val="0"/>
      <w:marBottom w:val="0"/>
      <w:divBdr>
        <w:top w:val="none" w:sz="0" w:space="0" w:color="auto"/>
        <w:left w:val="none" w:sz="0" w:space="0" w:color="auto"/>
        <w:bottom w:val="none" w:sz="0" w:space="0" w:color="auto"/>
        <w:right w:val="none" w:sz="0" w:space="0" w:color="auto"/>
      </w:divBdr>
    </w:div>
    <w:div w:id="15913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AND18</b:Tag>
    <b:SourceType>InternetSite</b:SourceType>
    <b:Guid>{387E2D3B-CE6F-48E7-BF70-747B967500D0}</b:Guid>
    <b:Author>
      <b:Author>
        <b:Corporate>ANDI</b:Corporate>
      </b:Author>
    </b:Author>
    <b:Title>SECTOR TRANSPORTE TERRESTRE DE PASAJEROS EN COLOMBIA</b:Title>
    <b:Year>2018</b:Year>
    <b:URL>http://www.andi.com.co/Uploads/SECTOR%20TRANSPORTE%20TERRESTRE%20DE%20PASAJEROS%20POR%20CARRETERA%20EN%20COLOMBIA%20VF.pdf </b:URL>
    <b:RefOrder>2</b:RefOrder>
  </b:Source>
  <b:Source>
    <b:Tag>DAN192</b:Tag>
    <b:SourceType>InternetSite</b:SourceType>
    <b:Guid>{41931C3D-4B0B-4694-A632-E6624048D575}</b:Guid>
    <b:Author>
      <b:Author>
        <b:Corporate>DANE</b:Corporate>
      </b:Author>
    </b:Author>
    <b:Title>Cuentas Nacionales - PIB</b:Title>
    <b:Year>2019</b:Year>
    <b:URL>https://www.dane.gov.co/files/investigaciones/boletines/pib/cuentas-nal-anuales/agregados-macroeconomicos-cuentas-nal-anuales-2005-2017p.xlsx</b:URL>
    <b:RefOrder>3</b:RefOrder>
  </b:Source>
  <b:Source>
    <b:Tag>Mun19</b:Tag>
    <b:SourceType>InternetSite</b:SourceType>
    <b:Guid>{6E6AA815-1A98-4963-8369-CE21BBAE84F4}</b:Guid>
    <b:Author>
      <b:Author>
        <b:Corporate>Mundo Noticias</b:Corporate>
      </b:Author>
    </b:Author>
    <b:Title>Por segunda vez, capturan individuo que suplantaba ser trabajador de Acuacar para exigir dinero a usuarios</b:Title>
    <b:Year>2019</b:Year>
    <b:Month>Enero</b:Month>
    <b:Day>26</b:Day>
    <b:URL>https://mundonoticias.com.co/por-segunda-vez-capturan-individuo-que-suplantaba-ser-trabajador-de-acuacar-para-exigir-dinero-a-usuarios/ </b:URL>
    <b:RefOrder>4</b:RefOrder>
  </b:Source>
  <b:Source>
    <b:Tag>Pol19</b:Tag>
    <b:SourceType>InternetSite</b:SourceType>
    <b:Guid>{96FE9E41-9279-4599-BAE6-B159373DE754}</b:Guid>
    <b:Author>
      <b:Author>
        <b:Corporate>Policía Nacional</b:Corporate>
      </b:Author>
    </b:Author>
    <b:Title>MinDefensa - Policía Nacional</b:Title>
    <b:InternetSiteTitle>Estadística delictiva</b:InternetSiteTitle>
    <b:Year>2019</b:Year>
    <b:Month>Junio</b:Month>
    <b:Day>09</b:Day>
    <b:URL>https://www.policia.gov.co/grupo-informaci%C3%B3n-criminalidad/estadistica-delictiva</b:URL>
    <b:RefOrder>5</b:RefOrder>
  </b:Source>
  <b:Source>
    <b:Tag>DAN19</b:Tag>
    <b:SourceType>DocumentFromInternetSite</b:SourceType>
    <b:Guid>{A8C0B32A-5E06-4979-AD9B-764EBADB9E90}</b:Guid>
    <b:Title>Resultados Censo Nacional de Población y Vivienda 2018</b:Title>
    <b:Year>2019</b:Year>
    <b:Author>
      <b:Author>
        <b:Corporate>DANE</b:Corporate>
      </b:Author>
    </b:Author>
    <b:URL>https://www.dane.gov.co/files/censo2018/informacion-tecnica/cnpv-2018-presentacion-3ra-entrega.pdf </b:URL>
    <b:RefOrder>6</b:RefOrder>
  </b:Source>
  <b:Source>
    <b:Tag>MON</b:Tag>
    <b:SourceType>InternetSite</b:SourceType>
    <b:Guid>{B514BC51-088E-428D-A93A-2CF1C1A2C994}</b:Guid>
    <b:Title>PREGUNTAS FRECUENTES : Equipaje y mascotas</b:Title>
    <b:URL>https://www.monbus.es/es/preguntas-frecuentes/categoria/59/equipaje-y-mascotas/</b:URL>
    <b:Author>
      <b:Author>
        <b:Corporate>MONBUS</b:Corporate>
      </b:Author>
    </b:Author>
    <b:RefOrder>7</b:RefOrder>
  </b:Source>
  <b:Source>
    <b:Tag>ALS</b:Tag>
    <b:SourceType>InternetSite</b:SourceType>
    <b:Guid>{30624D12-0759-4F9F-B551-C43DDC8AAD3C}</b:Guid>
    <b:Author>
      <b:Author>
        <b:Corporate>ALSA</b:Corporate>
      </b:Author>
    </b:Author>
    <b:URL>http://ayudaonline.alsa.es/pregunta-cliente/cuanto-equipaje-puedo-llevar/</b:URL>
    <b:RefOrder>8</b:RefOrder>
  </b:Source>
  <b:Source>
    <b:Tag>Ava</b:Tag>
    <b:SourceType>InternetSite</b:SourceType>
    <b:Guid>{C8836FA2-0780-44A0-9E5A-03F54E372759}</b:Guid>
    <b:Author>
      <b:Author>
        <b:Corporate>Avanzabus</b:Corporate>
      </b:Author>
    </b:Author>
    <b:Title>Ayuda Online</b:Title>
    <b:URL>http://ayuda.avanzabus.com/pregunta-usuario/medida-de-equipaje/</b:URL>
    <b:RefOrder>9</b:RefOrder>
  </b:Source>
  <b:Source>
    <b:Tag>Min06</b:Tag>
    <b:SourceType>DocumentFromInternetSite</b:SourceType>
    <b:Guid>{7020653D-26EF-4DEC-BC64-E9DFE2EFEC20}</b:Guid>
    <b:Author>
      <b:Author>
        <b:Corporate>Ministerio de Transporte</b:Corporate>
      </b:Author>
    </b:Author>
    <b:Title>Asunto: Transporte - Expedición tiquete a menores.</b:Title>
    <b:Year>2006</b:Year>
    <b:URL>https://www.google.com/url?sa=t&amp;rct=j&amp;q=&amp;esrc=s&amp;source=web&amp;cd=1&amp;cad=rja&amp;uact=8&amp;ved=2ahUKEwiXuu-xgcDjAhWrrFkKHbnbCmoQFjAAegQIABAC&amp;url=https%3A%2F%2Fwww.mintransporte.gov.co%2Fdescargar.php%3FidFile%3D2797&amp;usg=AOvVaw2sBh29V5X3iYIuske8q9vA</b:URL>
    <b:RefOrder>10</b:RefOrder>
  </b:Source>
  <b:Source>
    <b:Tag>Min18</b:Tag>
    <b:SourceType>InternetSite</b:SourceType>
    <b:Guid>{DAB6A77E-D201-4646-B1DE-1DA58E68DFF8}</b:Guid>
    <b:Author>
      <b:Author>
        <b:Corporate>Ministerio de Transporte</b:Corporate>
      </b:Author>
    </b:Author>
    <b:Title>Transporte en Cifras - Estadisticas 2017.pdf</b:Title>
    <b:Year>2018</b:Year>
    <b:Month>Agosto</b:Month>
    <b:Day>03</b:Day>
    <b:URL>https://www.mintransporte.gov.co/documentos/15/estadisticas/</b:URL>
    <b:RefOrder>11</b:RefOrder>
  </b:Source>
  <b:Source>
    <b:Tag>Sem19</b:Tag>
    <b:SourceType>InternetSite</b:SourceType>
    <b:Guid>{A76AD53B-7884-481A-A370-016CED52163F}</b:Guid>
    <b:Author>
      <b:Author>
        <b:Corporate>Semana</b:Corporate>
      </b:Author>
    </b:Author>
    <b:Title>Ladrones vestidos de Rappi asaltaron un edificio </b:Title>
    <b:Year>2019</b:Year>
    <b:Month>Julio</b:Month>
    <b:Day>03</b:Day>
    <b:URL>https://www.semana.com/nacion/articulo/ladrones-vestidos-de-rappi-asaltaron-un-edificio/604486</b:URL>
    <b:RefOrder>12</b:RefOrder>
  </b:Source>
  <b:Source>
    <b:Tag>Ort12</b:Tag>
    <b:SourceType>Book</b:SourceType>
    <b:Guid>{AB40C830-3A53-4590-B92E-5A51DFBDB0CD}</b:Guid>
    <b:Title>Estrategiaspara promover la accesibilidad, cobertura y calidad en el sistema de transporte público  urbano para la población con discapacidad física: caso Bogotá.</b:Title>
    <b:Year>2012</b:Year>
    <b:Author>
      <b:Author>
        <b:NameList>
          <b:Person>
            <b:Last>Martínez</b:Last>
            <b:First>Diana</b:First>
          </b:Person>
        </b:NameList>
      </b:Author>
      <b:BookAuthor>
        <b:NameList>
          <b:Person>
            <b:Last>Transporte</b:Last>
            <b:First>Trabajo</b:First>
            <b:Middle>final de maestría - Magister en Ingeniería de</b:Middle>
          </b:Person>
        </b:NameList>
      </b:BookAuthor>
    </b:Author>
    <b:Pages>1 - 173</b:Pages>
    <b:City>Bogotá</b:City>
    <b:Publisher>Universidad Nacional de Colombia</b:Publisher>
    <b:RefOrder>13</b:RefOrder>
  </b:Source>
  <b:Source>
    <b:Tag>DAN191</b:Tag>
    <b:SourceType>InternetSite</b:SourceType>
    <b:Guid>{8BDD1736-2AF4-4A2B-B857-163FA7979A54}</b:Guid>
    <b:Title>Índice de costos del transporte intermunicipal de pasajeros (ICTIP)</b:Title>
    <b:Year>2019</b:Year>
    <b:URL>https://www.dane.gov.co/index.php/estadisticas-por-tema/precios-y-costos/indice-de-costos-del-transporte-intermunicipal-de-pasajeros-ictip</b:URL>
    <b:Author>
      <b:Author>
        <b:Corporate>DANE </b:Corporate>
      </b:Author>
    </b:Author>
    <b:RefOrder>14</b:RefOrder>
  </b:Source>
  <b:Source>
    <b:Tag>Dan18</b:Tag>
    <b:SourceType>JournalArticle</b:SourceType>
    <b:Guid>{EB1CD947-8F1D-7544-8A50-0C227FC60EEF}</b:Guid>
    <b:Title>Productividad y distribución del ingreso: implicaciones sobre el salario mínimo colombiano, 2001-2016</b:Title>
    <b:Year>2018</b:Year>
    <b:Author>
      <b:Author>
        <b:NameList>
          <b:Person>
            <b:Last>Ossa</b:Last>
            <b:First>Daniel</b:First>
          </b:Person>
        </b:NameList>
      </b:Author>
    </b:Author>
    <b:JournalName>Revista de Economía Institucional</b:JournalName>
    <b:Pages>231-255</b:Pages>
    <b:RefOrder>15</b:RefOrder>
  </b:Source>
  <b:Source>
    <b:Tag>OEC11</b:Tag>
    <b:SourceType>Report</b:SourceType>
    <b:Guid>{F9CB8886-04D0-234A-A0E6-D3D6E59A1E22}</b:Guid>
    <b:Title>Measuring productivity: OECD Manual: Measurement of aggregate and industry-level productivity growth</b:Title>
    <b:Year>2011</b:Year>
    <b:Author>
      <b:Author>
        <b:Corporate>OECD</b:Corporate>
      </b:Author>
    </b:Author>
    <b:Publisher>OECD</b:Publisher>
    <b:City>Paris</b:City>
    <b:RefOrder>16</b:RefOrder>
  </b:Source>
  <b:Source>
    <b:Tag>MarcadorDePosición1</b:Tag>
    <b:SourceType>Report</b:SourceType>
    <b:Guid>{6E720A0F-CCA1-466D-A238-1E43642FC8F7}</b:Guid>
    <b:Author>
      <b:Author>
        <b:Corporate>Ministerio de Educación Nacional</b:Corporate>
      </b:Author>
    </b:Author>
    <b:Title>Informe de educación superior </b:Title>
    <b:Year>2018</b:Year>
    <b:Publisher>Ministerio de Educación Nacional</b:Publisher>
    <b:City>Bogotá</b:City>
    <b:RefOrder>1</b:RefOrder>
  </b:Source>
  <b:Source>
    <b:Tag>Min191</b:Tag>
    <b:SourceType>Report</b:SourceType>
    <b:Guid>{C4EF63CD-D561-4B41-BC46-5E1EA3C5BE9D}</b:Guid>
    <b:Author>
      <b:Author>
        <b:Corporate>Ministerio de Educación Nacional</b:Corporate>
      </b:Author>
    </b:Author>
    <b:Title>Derecho de petición</b:Title>
    <b:Year>2019</b:Year>
    <b:Publisher>Ministerio de Educación Nacional</b:Publisher>
    <b:City>Bogotá</b:City>
    <b:RefOrder>2</b:RefOrder>
  </b:Source>
  <b:Source>
    <b:Tag>Sch61</b:Tag>
    <b:SourceType>JournalArticle</b:SourceType>
    <b:Guid>{C62F4A20-F0F9-4389-B346-887C122A2B7F}</b:Guid>
    <b:Author>
      <b:Author>
        <b:NameList>
          <b:Person>
            <b:Last>Schultz</b:Last>
            <b:First>Theodore</b:First>
          </b:Person>
        </b:NameList>
      </b:Author>
    </b:Author>
    <b:Title>Investment in human capital</b:Title>
    <b:Year>1961</b:Year>
    <b:JournalName>The American Economics Review. </b:JournalName>
    <b:Pages>Vol. 51, No. 1 pp. 1-17</b:Pages>
    <b:RefOrder>3</b:RefOrder>
  </b:Source>
  <b:Source>
    <b:Tag>Pau90</b:Tag>
    <b:SourceType>JournalArticle</b:SourceType>
    <b:Guid>{6DD0123A-1835-4D36-B7ED-8AF2D1FF13AB}</b:Guid>
    <b:Author>
      <b:Author>
        <b:NameList>
          <b:Person>
            <b:Last>Romer</b:Last>
            <b:First>Paul</b:First>
            <b:Middle>M.</b:Middle>
          </b:Person>
        </b:NameList>
      </b:Author>
    </b:Author>
    <b:Title>Endogenous Technological Change </b:Title>
    <b:JournalName>Journal of Political Economy</b:JournalName>
    <b:Year>1990</b:Year>
    <b:Pages>Vol. 98(5), 71-102. </b:Pages>
    <b:RefOrder>4</b:RefOrder>
  </b:Source>
  <b:Source>
    <b:Tag>Ban18</b:Tag>
    <b:SourceType>InternetSite</b:SourceType>
    <b:Guid>{CEB46E1D-2C5B-4059-93C5-FFBF1974EA97}</b:Guid>
    <b:Title>Educación</b:Title>
    <b:Year>2018</b:Year>
    <b:Author>
      <b:Author>
        <b:Corporate>Banco Mundial </b:Corporate>
      </b:Author>
    </b:Author>
    <b:InternetSiteTitle>El GBM es la principal entidad de financiamiento de la educación en el mundo en desarrollo.</b:InternetSiteTitle>
    <b:Month>11</b:Month>
    <b:Day>12</b:Day>
    <b:URL>https://www.bancomundial.org/es/topic/education/overview </b:URL>
    <b:RefOrder>5</b:RefOrder>
  </b:Source>
  <b:Source>
    <b:Tag>Sol56</b:Tag>
    <b:SourceType>JournalArticle</b:SourceType>
    <b:Guid>{1462EBC8-6D42-41F1-B608-5787D41F8490}</b:Guid>
    <b:Title>A Contribution to the Theory of Economic Growth</b:Title>
    <b:Year>1956</b:Year>
    <b:JournalName>The MIT Press</b:JournalName>
    <b:Pages>65-94</b:Pages>
    <b:Author>
      <b:Author>
        <b:NameList>
          <b:Person>
            <b:Last>Solow</b:Last>
            <b:First>Robert</b:First>
          </b:Person>
        </b:NameList>
      </b:Author>
    </b:Author>
    <b:RefOrder>6</b:RefOrder>
  </b:Source>
  <b:Source>
    <b:Tag>Min19</b:Tag>
    <b:SourceType>Report</b:SourceType>
    <b:Guid>{2CB096BA-171A-4B41-A5FE-D561BBF7791A}</b:Guid>
    <b:Title>Derecho de petición</b:Title>
    <b:Year>2019</b:Year>
    <b:Author>
      <b:Author>
        <b:Corporate>Ministerio de Relaciones Exteriores</b:Corporate>
      </b:Author>
    </b:Author>
    <b:Publisher>Ministerio de Relaciones Exteriores</b:Publisher>
    <b:City>Bogotá</b:City>
    <b:RefOrder>7</b:RefOrder>
  </b:Source>
  <b:Source>
    <b:Tag>Smi58</b:Tag>
    <b:SourceType>Book</b:SourceType>
    <b:Guid>{72C6CDFC-7EE3-424C-B339-55162D2178EF}</b:Guid>
    <b:Title>Investigación sobre la naturaleza y causas de la riqueza de las Naciones</b:Title>
    <b:Year>1958</b:Year>
    <b:Publisher>Fondo de Cultura Económica</b:Publisher>
    <b:City>Mexico</b:City>
    <b:Author>
      <b:Author>
        <b:NameList>
          <b:Person>
            <b:Last>Smith</b:Last>
            <b:First>Adam</b:First>
          </b:Person>
        </b:NameList>
      </b:Author>
    </b:Author>
    <b:RefOrder>8</b:RefOrder>
  </b:Source>
  <b:Source>
    <b:Tag>Men18</b:Tag>
    <b:SourceType>JournalArticle</b:SourceType>
    <b:Guid>{AEA55C7D-87D1-445D-A444-0B64287F466D}</b:Guid>
    <b:Title>Dinero, política fiscal y estabilidad: ¿Es necesario el déficit fiscal?</b:Title>
    <b:Year>2018</b:Year>
    <b:Author>
      <b:Author>
        <b:NameList>
          <b:Person>
            <b:Last>Mendoza</b:Last>
            <b:First>Enrique</b:First>
          </b:Person>
        </b:NameList>
      </b:Author>
    </b:Author>
    <b:JournalName>Análisis</b:JournalName>
    <b:Pages>78-103</b:Pages>
    <b:RefOrder>1</b:RefOrder>
  </b:Source>
  <b:Source>
    <b:Tag>Pik14</b:Tag>
    <b:SourceType>Book</b:SourceType>
    <b:Guid>{3989C7CF-78F0-41CA-BF03-DD85A9BFFEE5}</b:Guid>
    <b:Title>El Capital del Siglo XXI</b:Title>
    <b:Year>2014</b:Year>
    <b:City>Ciudad de Mexico</b:City>
    <b:Publisher>Fondo de Cultura Económica</b:Publisher>
    <b:Author>
      <b:Author>
        <b:NameList>
          <b:Person>
            <b:Last>Piketty</b:Last>
            <b:First>Thomas</b:First>
          </b:Person>
        </b:NameList>
      </b:Author>
    </b:Author>
    <b:RefOrder>2</b:RefOrder>
  </b:Source>
  <b:Source>
    <b:Tag>Dan06</b:Tag>
    <b:SourceType>Report</b:SourceType>
    <b:Guid>{146433E6-4A82-4410-AC7A-9597F74B12B1}</b:Guid>
    <b:Title>Ajuste fiscal para la estabilidad y el crecimiento</b:Title>
    <b:Year>2006</b:Year>
    <b:Publisher>FMI</b:Publisher>
    <b:City>Washington</b:City>
    <b:Author>
      <b:Author>
        <b:NameList>
          <b:Person>
            <b:Last>Daniel</b:Last>
            <b:First>James</b:First>
          </b:Person>
          <b:Person>
            <b:Last>Davis</b:Last>
            <b:First>Jeffrey</b:First>
          </b:Person>
          <b:Person>
            <b:Last>Fouad </b:Last>
            <b:First>Manuel</b:First>
          </b:Person>
          <b:Person>
            <b:Last>Van Rijckeghem</b:Last>
            <b:First>Carolina</b:First>
          </b:Person>
        </b:NameList>
      </b:Author>
    </b:Author>
    <b:RefOrder>3</b:RefOrder>
  </b:Source>
  <b:Source>
    <b:Tag>LEY</b:Tag>
    <b:SourceType>Case</b:SourceType>
    <b:Guid>{E535B746-6788-4097-AB2D-9C57687D4DB0}</b:Guid>
    <b:Title>LEY ESTATUTARIA SOBRE ELECCION PARLAMENTARIOS ANDINOS-Trámite legislativo</b:Title>
    <b:CaseNumber>Sentencia C-502/07</b:CaseNumber>
    <b:Court>Corte Constitucional</b:Court>
    <b:RefOrder>4</b:RefOrder>
  </b:Source>
</b:Sources>
</file>

<file path=customXml/itemProps1.xml><?xml version="1.0" encoding="utf-8"?>
<ds:datastoreItem xmlns:ds="http://schemas.openxmlformats.org/officeDocument/2006/customXml" ds:itemID="{8D1D810D-883D-491B-BE68-7E6D1DE1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1244</Words>
  <Characters>6844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Apraez Utl.HR David Ricardo Racero</dc:creator>
  <cp:keywords/>
  <dc:description/>
  <cp:lastModifiedBy>hasbleidy suarez</cp:lastModifiedBy>
  <cp:revision>7</cp:revision>
  <cp:lastPrinted>2019-07-23T14:01:00Z</cp:lastPrinted>
  <dcterms:created xsi:type="dcterms:W3CDTF">2019-07-22T21:15:00Z</dcterms:created>
  <dcterms:modified xsi:type="dcterms:W3CDTF">2019-07-23T17:41:00Z</dcterms:modified>
</cp:coreProperties>
</file>