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83D" w:rsidRPr="00DA74BA" w:rsidRDefault="007F783D" w:rsidP="007F783D">
      <w:pPr>
        <w:pStyle w:val="CM6"/>
        <w:spacing w:after="220" w:line="266" w:lineRule="atLeast"/>
        <w:jc w:val="center"/>
        <w:rPr>
          <w:rFonts w:ascii="Arial" w:hAnsi="Arial" w:cs="Arial"/>
          <w:b/>
          <w:bCs/>
          <w:color w:val="000000"/>
          <w:sz w:val="22"/>
          <w:szCs w:val="22"/>
          <w:shd w:val="clear" w:color="auto" w:fill="FFFFFF"/>
        </w:rPr>
      </w:pPr>
      <w:r w:rsidRPr="00DA74BA">
        <w:rPr>
          <w:rFonts w:ascii="Arial" w:hAnsi="Arial" w:cs="Arial"/>
          <w:b/>
          <w:bCs/>
          <w:color w:val="000000"/>
          <w:sz w:val="22"/>
          <w:szCs w:val="22"/>
          <w:shd w:val="clear" w:color="auto" w:fill="FFFFFF"/>
        </w:rPr>
        <w:t xml:space="preserve">PROYECTO DE LEY NO. _____ DE 2019 CÁMARA </w:t>
      </w:r>
    </w:p>
    <w:p w:rsidR="00773B1E" w:rsidRPr="00DA74BA" w:rsidRDefault="00182B84" w:rsidP="00773B1E">
      <w:pPr>
        <w:suppressAutoHyphens/>
        <w:adjustRightInd w:val="0"/>
        <w:spacing w:before="57" w:after="57" w:line="288" w:lineRule="auto"/>
        <w:jc w:val="center"/>
        <w:textAlignment w:val="center"/>
        <w:rPr>
          <w:rFonts w:ascii="Arial" w:eastAsia="Times New Roman" w:hAnsi="Arial" w:cs="Arial"/>
          <w:b/>
          <w:i/>
          <w:lang w:eastAsia="es-CO"/>
        </w:rPr>
      </w:pPr>
      <w:r w:rsidRPr="00DA74BA">
        <w:rPr>
          <w:rFonts w:ascii="Arial" w:eastAsia="Calibri" w:hAnsi="Arial" w:cs="Arial"/>
          <w:b/>
          <w:i/>
          <w:iCs/>
          <w:color w:val="000000"/>
          <w:lang w:val="es-ES_tradnl"/>
        </w:rPr>
        <w:t xml:space="preserve"> “</w:t>
      </w:r>
      <w:r w:rsidR="008373B7">
        <w:rPr>
          <w:rFonts w:ascii="Arial" w:hAnsi="Arial" w:cs="Arial"/>
          <w:b/>
        </w:rPr>
        <w:t>POR LA CUAL SE AMPLIA</w:t>
      </w:r>
      <w:r w:rsidRPr="00DA74BA">
        <w:rPr>
          <w:rFonts w:ascii="Arial" w:hAnsi="Arial" w:cs="Arial"/>
          <w:b/>
        </w:rPr>
        <w:t xml:space="preserve"> LA AUTORIZA A LA ASAMBLEA DEPARTAMENTAL DEL META PARA ORDENAR LA EMISIÓN DE LA ESTAMPILLA "UNIVERSIDAD DE LOS LLANOS" Y SE DICTAN OTRAS DISPOSICIONES</w:t>
      </w:r>
      <w:r w:rsidRPr="00DA74BA">
        <w:rPr>
          <w:rFonts w:ascii="Arial" w:eastAsia="Calibri" w:hAnsi="Arial" w:cs="Arial"/>
          <w:b/>
          <w:i/>
          <w:iCs/>
          <w:color w:val="000000"/>
          <w:lang w:val="es-ES_tradnl"/>
        </w:rPr>
        <w:t>”.</w:t>
      </w:r>
    </w:p>
    <w:p w:rsidR="00773B1E" w:rsidRPr="00DA74BA" w:rsidRDefault="00773B1E" w:rsidP="00773B1E">
      <w:pPr>
        <w:adjustRightInd w:val="0"/>
        <w:spacing w:before="100" w:beforeAutospacing="1" w:after="100" w:afterAutospacing="1" w:line="288" w:lineRule="auto"/>
        <w:jc w:val="center"/>
        <w:textAlignment w:val="center"/>
        <w:rPr>
          <w:rFonts w:ascii="Arial" w:eastAsia="Times New Roman" w:hAnsi="Arial" w:cs="Arial"/>
          <w:lang w:eastAsia="es-CO"/>
        </w:rPr>
      </w:pPr>
      <w:r w:rsidRPr="00DA74BA">
        <w:rPr>
          <w:rFonts w:ascii="Arial" w:eastAsia="Calibri" w:hAnsi="Arial" w:cs="Arial"/>
          <w:color w:val="000000"/>
          <w:spacing w:val="-2"/>
          <w:lang w:val="es-ES_tradnl"/>
        </w:rPr>
        <w:t>El Congreso de Colombia</w:t>
      </w:r>
    </w:p>
    <w:p w:rsidR="00773B1E" w:rsidRPr="00DA74BA" w:rsidRDefault="00773B1E" w:rsidP="00773B1E">
      <w:pPr>
        <w:adjustRightInd w:val="0"/>
        <w:spacing w:before="100" w:beforeAutospacing="1" w:after="100" w:afterAutospacing="1" w:line="288" w:lineRule="auto"/>
        <w:jc w:val="center"/>
        <w:textAlignment w:val="center"/>
        <w:rPr>
          <w:rFonts w:ascii="Arial" w:eastAsia="Times New Roman" w:hAnsi="Arial" w:cs="Arial"/>
          <w:lang w:eastAsia="es-CO"/>
        </w:rPr>
      </w:pPr>
      <w:r w:rsidRPr="00DA74BA">
        <w:rPr>
          <w:rFonts w:ascii="Arial" w:eastAsia="Calibri" w:hAnsi="Arial" w:cs="Arial"/>
          <w:color w:val="000000"/>
          <w:spacing w:val="-2"/>
          <w:lang w:val="es-ES_tradnl"/>
        </w:rPr>
        <w:t>DECRETA:</w:t>
      </w:r>
    </w:p>
    <w:p w:rsidR="00773B1E" w:rsidRPr="00DA74BA" w:rsidRDefault="00773B1E" w:rsidP="00830D97">
      <w:pPr>
        <w:suppressAutoHyphens/>
        <w:adjustRightInd w:val="0"/>
        <w:spacing w:before="57" w:after="28"/>
        <w:ind w:right="49" w:firstLine="708"/>
        <w:jc w:val="both"/>
        <w:textAlignment w:val="center"/>
        <w:rPr>
          <w:rFonts w:ascii="Arial" w:hAnsi="Arial" w:cs="Arial"/>
        </w:rPr>
      </w:pPr>
      <w:r w:rsidRPr="00DA74BA">
        <w:rPr>
          <w:rFonts w:ascii="Arial" w:eastAsia="Calibri" w:hAnsi="Arial" w:cs="Arial"/>
          <w:b/>
          <w:bCs/>
          <w:color w:val="000000"/>
          <w:lang w:val="es-ES_tradnl"/>
        </w:rPr>
        <w:t xml:space="preserve">Artículo </w:t>
      </w:r>
      <w:r w:rsidRPr="00DA74BA">
        <w:rPr>
          <w:rFonts w:ascii="Arial" w:eastAsia="Calibri" w:hAnsi="Arial" w:cs="Arial"/>
          <w:b/>
          <w:bCs/>
          <w:caps/>
          <w:color w:val="000000"/>
          <w:lang w:val="es-ES_tradnl"/>
        </w:rPr>
        <w:t>1</w:t>
      </w:r>
      <w:r w:rsidRPr="00DA74BA">
        <w:rPr>
          <w:rFonts w:ascii="Arial" w:eastAsia="Calibri" w:hAnsi="Arial" w:cs="Arial"/>
          <w:caps/>
          <w:color w:val="000000"/>
          <w:rtl/>
          <w:lang w:val="es-ES_tradnl" w:bidi="ar-YE"/>
        </w:rPr>
        <w:t>°</w:t>
      </w:r>
      <w:r w:rsidRPr="00DA74BA">
        <w:rPr>
          <w:rFonts w:ascii="Arial" w:eastAsia="Calibri" w:hAnsi="Arial" w:cs="Arial"/>
          <w:b/>
          <w:bCs/>
          <w:caps/>
          <w:color w:val="000000"/>
          <w:lang w:val="es-ES_tradnl"/>
        </w:rPr>
        <w:t>.</w:t>
      </w:r>
      <w:r w:rsidRPr="00DA74BA">
        <w:rPr>
          <w:rFonts w:ascii="Arial" w:eastAsia="Calibri" w:hAnsi="Arial" w:cs="Arial"/>
          <w:caps/>
          <w:color w:val="000000"/>
          <w:lang w:val="es-ES_tradnl"/>
        </w:rPr>
        <w:t xml:space="preserve"> </w:t>
      </w:r>
      <w:r w:rsidRPr="00DA74BA">
        <w:rPr>
          <w:rFonts w:ascii="Arial" w:eastAsia="Calibri" w:hAnsi="Arial" w:cs="Arial"/>
          <w:b/>
          <w:bCs/>
          <w:i/>
          <w:iCs/>
          <w:lang w:val="es-ES_tradnl"/>
        </w:rPr>
        <w:t>Objeto</w:t>
      </w:r>
      <w:r w:rsidRPr="00DA74BA">
        <w:rPr>
          <w:rFonts w:ascii="Arial" w:eastAsia="Calibri" w:hAnsi="Arial" w:cs="Arial"/>
          <w:caps/>
          <w:color w:val="000000"/>
          <w:lang w:val="es-ES_tradnl"/>
        </w:rPr>
        <w:t>.</w:t>
      </w:r>
      <w:r w:rsidR="00182B84" w:rsidRPr="00DA74BA">
        <w:rPr>
          <w:rFonts w:ascii="Arial" w:eastAsia="Calibri" w:hAnsi="Arial" w:cs="Arial"/>
          <w:caps/>
          <w:color w:val="000000"/>
          <w:lang w:val="es-ES_tradnl"/>
        </w:rPr>
        <w:t xml:space="preserve"> </w:t>
      </w:r>
      <w:r w:rsidR="008373B7">
        <w:rPr>
          <w:rFonts w:ascii="Arial" w:hAnsi="Arial" w:cs="Arial"/>
        </w:rPr>
        <w:t xml:space="preserve"> Ampliar</w:t>
      </w:r>
      <w:r w:rsidR="00182B84" w:rsidRPr="00DA74BA">
        <w:rPr>
          <w:rFonts w:ascii="Arial" w:hAnsi="Arial" w:cs="Arial"/>
        </w:rPr>
        <w:t xml:space="preserve"> la autorización a la Asamblea Departamental del Meta y a los Concejos Municipales de cada una de sus entidades territoriales para que ordenen la emisión de la estampilla "Universidad de los Llanos" creada mediante la Ley 1178 de 2007.</w:t>
      </w:r>
    </w:p>
    <w:p w:rsidR="00182B84" w:rsidRPr="00DA74BA" w:rsidRDefault="00182B84" w:rsidP="0099219C">
      <w:pPr>
        <w:suppressAutoHyphens/>
        <w:adjustRightInd w:val="0"/>
        <w:spacing w:before="57" w:after="28"/>
        <w:ind w:right="49" w:firstLine="283"/>
        <w:jc w:val="both"/>
        <w:textAlignment w:val="center"/>
        <w:rPr>
          <w:rFonts w:ascii="Arial" w:eastAsia="Times New Roman" w:hAnsi="Arial" w:cs="Arial"/>
          <w:lang w:eastAsia="es-CO"/>
        </w:rPr>
      </w:pPr>
    </w:p>
    <w:p w:rsidR="00182B84" w:rsidRPr="00DA74BA" w:rsidRDefault="0099219C" w:rsidP="00182B84">
      <w:pPr>
        <w:suppressAutoHyphens/>
        <w:adjustRightInd w:val="0"/>
        <w:spacing w:before="57" w:after="57"/>
        <w:jc w:val="both"/>
        <w:textAlignment w:val="center"/>
        <w:rPr>
          <w:rFonts w:ascii="Arial" w:hAnsi="Arial" w:cs="Arial"/>
        </w:rPr>
      </w:pPr>
      <w:r w:rsidRPr="00DA74BA">
        <w:rPr>
          <w:rFonts w:ascii="Arial" w:eastAsia="Calibri" w:hAnsi="Arial" w:cs="Arial"/>
          <w:b/>
          <w:bCs/>
          <w:color w:val="000000"/>
          <w:lang w:val="es-ES_tradnl"/>
        </w:rPr>
        <w:t xml:space="preserve">   </w:t>
      </w:r>
      <w:r w:rsidR="00830D97" w:rsidRPr="00DA74BA">
        <w:rPr>
          <w:rFonts w:ascii="Arial" w:eastAsia="Calibri" w:hAnsi="Arial" w:cs="Arial"/>
          <w:b/>
          <w:bCs/>
          <w:color w:val="000000"/>
          <w:lang w:val="es-ES_tradnl"/>
        </w:rPr>
        <w:tab/>
      </w:r>
      <w:r w:rsidR="00773B1E" w:rsidRPr="00DA74BA">
        <w:rPr>
          <w:rFonts w:ascii="Arial" w:eastAsia="Calibri" w:hAnsi="Arial" w:cs="Arial"/>
          <w:b/>
          <w:bCs/>
          <w:color w:val="000000"/>
          <w:lang w:val="es-ES_tradnl"/>
        </w:rPr>
        <w:t xml:space="preserve">Artículo </w:t>
      </w:r>
      <w:r w:rsidR="00773B1E" w:rsidRPr="00DA74BA">
        <w:rPr>
          <w:rFonts w:ascii="Arial" w:eastAsia="Calibri" w:hAnsi="Arial" w:cs="Arial"/>
          <w:b/>
          <w:bCs/>
          <w:caps/>
          <w:color w:val="000000"/>
          <w:lang w:val="es-ES_tradnl"/>
        </w:rPr>
        <w:t xml:space="preserve">2°. </w:t>
      </w:r>
      <w:r w:rsidR="00182B84" w:rsidRPr="00DA74BA">
        <w:rPr>
          <w:rFonts w:ascii="Arial" w:eastAsia="Calibri" w:hAnsi="Arial" w:cs="Arial"/>
          <w:b/>
          <w:bCs/>
          <w:iCs/>
          <w:color w:val="000000"/>
          <w:lang w:val="es-ES_tradnl"/>
        </w:rPr>
        <w:t xml:space="preserve">Monto. </w:t>
      </w:r>
      <w:r w:rsidR="00182B84" w:rsidRPr="00DA74BA">
        <w:rPr>
          <w:rFonts w:ascii="Arial" w:hAnsi="Arial" w:cs="Arial"/>
        </w:rPr>
        <w:t>La Estampilla "Universidad de los Llanos", cuya emisión se autoriza será hasta por la suma de cien mil millones de pesos ($100.000.000.000.00) adicionales a los recaudados. El presente valor se establece a precios constantes a la entrada en vigencia de la presente ley.</w:t>
      </w:r>
    </w:p>
    <w:p w:rsidR="00182B84" w:rsidRPr="00DA74BA" w:rsidRDefault="00182B84" w:rsidP="00830D97">
      <w:pPr>
        <w:suppressAutoHyphens/>
        <w:adjustRightInd w:val="0"/>
        <w:spacing w:before="57" w:after="57"/>
        <w:jc w:val="both"/>
        <w:textAlignment w:val="center"/>
        <w:rPr>
          <w:rFonts w:ascii="Arial" w:hAnsi="Arial" w:cs="Arial"/>
        </w:rPr>
      </w:pPr>
    </w:p>
    <w:p w:rsidR="00830D97" w:rsidRPr="00DA74BA" w:rsidRDefault="00182B84" w:rsidP="00830D97">
      <w:pPr>
        <w:suppressAutoHyphens/>
        <w:adjustRightInd w:val="0"/>
        <w:spacing w:before="57" w:after="57"/>
        <w:ind w:firstLine="708"/>
        <w:jc w:val="both"/>
        <w:textAlignment w:val="center"/>
        <w:rPr>
          <w:rFonts w:ascii="Arial" w:hAnsi="Arial" w:cs="Arial"/>
        </w:rPr>
      </w:pPr>
      <w:r w:rsidRPr="00DA74BA">
        <w:rPr>
          <w:rFonts w:ascii="Arial" w:hAnsi="Arial" w:cs="Arial"/>
          <w:b/>
        </w:rPr>
        <w:t>Artículo 3°.</w:t>
      </w:r>
      <w:r w:rsidR="00830D97" w:rsidRPr="00DA74BA">
        <w:rPr>
          <w:rFonts w:ascii="Arial" w:hAnsi="Arial" w:cs="Arial"/>
          <w:b/>
        </w:rPr>
        <w:t xml:space="preserve"> Destinación.</w:t>
      </w:r>
      <w:r w:rsidRPr="00DA74BA">
        <w:rPr>
          <w:rFonts w:ascii="Arial" w:hAnsi="Arial" w:cs="Arial"/>
        </w:rPr>
        <w:t xml:space="preserve"> El producido de los recursos provenientes de la estampilla "Universidad de los Llanos", se destinarán al desarrollo científico en las líneas de investigación institucionales de la Universidad de los Llanos, adoptadas </w:t>
      </w:r>
      <w:r w:rsidR="00F022DA">
        <w:rPr>
          <w:rFonts w:ascii="Arial" w:hAnsi="Arial" w:cs="Arial"/>
        </w:rPr>
        <w:t>mediante el Acuerdo Académico y/o</w:t>
      </w:r>
      <w:r w:rsidRPr="00DA74BA">
        <w:rPr>
          <w:rFonts w:ascii="Arial" w:hAnsi="Arial" w:cs="Arial"/>
        </w:rPr>
        <w:t xml:space="preserve"> a la apertura</w:t>
      </w:r>
      <w:r w:rsidR="00830D97" w:rsidRPr="00DA74BA">
        <w:rPr>
          <w:rFonts w:ascii="Arial" w:hAnsi="Arial" w:cs="Arial"/>
        </w:rPr>
        <w:t xml:space="preserve"> y funcionamiento de programas académicos.</w:t>
      </w:r>
    </w:p>
    <w:p w:rsidR="00830D97" w:rsidRPr="00DA74BA" w:rsidRDefault="00AA4D1B" w:rsidP="00830D97">
      <w:pPr>
        <w:suppressAutoHyphens/>
        <w:adjustRightInd w:val="0"/>
        <w:spacing w:before="57" w:after="57"/>
        <w:jc w:val="both"/>
        <w:textAlignment w:val="center"/>
        <w:rPr>
          <w:rFonts w:ascii="Arial" w:hAnsi="Arial" w:cs="Arial"/>
        </w:rPr>
      </w:pPr>
      <w:r w:rsidRPr="00DA74BA">
        <w:rPr>
          <w:rFonts w:ascii="Arial" w:hAnsi="Arial" w:cs="Arial"/>
        </w:rPr>
        <w:t>Así mismo, se destinará un porcentaje de 2% adicional para el funciona</w:t>
      </w:r>
      <w:r w:rsidR="00830D97" w:rsidRPr="00DA74BA">
        <w:rPr>
          <w:rFonts w:ascii="Arial" w:hAnsi="Arial" w:cs="Arial"/>
        </w:rPr>
        <w:t>miento y desarrollo de la sede en el Municipio</w:t>
      </w:r>
      <w:r w:rsidRPr="00DA74BA">
        <w:rPr>
          <w:rFonts w:ascii="Arial" w:hAnsi="Arial" w:cs="Arial"/>
        </w:rPr>
        <w:t xml:space="preserve"> de Granada</w:t>
      </w:r>
      <w:r w:rsidR="00830D97" w:rsidRPr="00DA74BA">
        <w:rPr>
          <w:rFonts w:ascii="Arial" w:hAnsi="Arial" w:cs="Arial"/>
        </w:rPr>
        <w:t>.</w:t>
      </w:r>
    </w:p>
    <w:p w:rsidR="00182B84" w:rsidRPr="00DA74BA" w:rsidRDefault="00182B84" w:rsidP="00182B84">
      <w:pPr>
        <w:suppressAutoHyphens/>
        <w:adjustRightInd w:val="0"/>
        <w:spacing w:before="57" w:after="57"/>
        <w:jc w:val="both"/>
        <w:textAlignment w:val="center"/>
        <w:rPr>
          <w:rFonts w:ascii="Arial" w:hAnsi="Arial" w:cs="Arial"/>
        </w:rPr>
      </w:pPr>
      <w:r w:rsidRPr="00DA74BA">
        <w:rPr>
          <w:rFonts w:ascii="Arial" w:hAnsi="Arial" w:cs="Arial"/>
        </w:rPr>
        <w:t>El Consejo Superior de la Universidad continuará siendo el órgano encargado de la administración de los recursos recaudados mediante la presente estampilla.</w:t>
      </w:r>
    </w:p>
    <w:p w:rsidR="00830D97" w:rsidRPr="00DA74BA" w:rsidRDefault="00830D97" w:rsidP="00182B84">
      <w:pPr>
        <w:suppressAutoHyphens/>
        <w:adjustRightInd w:val="0"/>
        <w:spacing w:before="57" w:after="57"/>
        <w:jc w:val="both"/>
        <w:textAlignment w:val="center"/>
        <w:rPr>
          <w:rFonts w:ascii="Arial" w:hAnsi="Arial" w:cs="Arial"/>
        </w:rPr>
      </w:pPr>
    </w:p>
    <w:p w:rsidR="00182B84" w:rsidRPr="00DA74BA" w:rsidRDefault="00182B84" w:rsidP="00830D97">
      <w:pPr>
        <w:suppressAutoHyphens/>
        <w:adjustRightInd w:val="0"/>
        <w:spacing w:before="57" w:after="57"/>
        <w:ind w:firstLine="708"/>
        <w:jc w:val="both"/>
        <w:textAlignment w:val="center"/>
        <w:rPr>
          <w:rFonts w:ascii="Arial" w:hAnsi="Arial" w:cs="Arial"/>
        </w:rPr>
      </w:pPr>
      <w:r w:rsidRPr="00DA74BA">
        <w:rPr>
          <w:rFonts w:ascii="Arial" w:hAnsi="Arial" w:cs="Arial"/>
          <w:b/>
        </w:rPr>
        <w:t>Artículo 4°.</w:t>
      </w:r>
      <w:r w:rsidR="00830D97" w:rsidRPr="00DA74BA">
        <w:rPr>
          <w:rFonts w:ascii="Arial" w:hAnsi="Arial" w:cs="Arial"/>
          <w:b/>
        </w:rPr>
        <w:t xml:space="preserve"> Determinación.</w:t>
      </w:r>
      <w:r w:rsidRPr="00DA74BA">
        <w:rPr>
          <w:rFonts w:ascii="Arial" w:hAnsi="Arial" w:cs="Arial"/>
        </w:rPr>
        <w:t xml:space="preserve"> Será la Asamblea del departamento del Meta quien determinará las características, hechos económicos, tarifas, actos administrativos u objetos de gravamen, excepciones y todos los demás asuntos pertinentes al uso obligatorio de la estampilla en las operaciones que se realizan en el departamento y en cada uno de sus municipios. Las providencias que en tal sentido expida la Asamblea Departamental del Meta, serán de conocimiento del Gobierno Nacional a través del Ministerio de Hacienda. </w:t>
      </w:r>
    </w:p>
    <w:p w:rsidR="00830D97" w:rsidRPr="00DA74BA" w:rsidRDefault="00830D97" w:rsidP="00182B84">
      <w:pPr>
        <w:suppressAutoHyphens/>
        <w:adjustRightInd w:val="0"/>
        <w:spacing w:before="57" w:after="57"/>
        <w:jc w:val="both"/>
        <w:textAlignment w:val="center"/>
        <w:rPr>
          <w:rFonts w:ascii="Arial" w:hAnsi="Arial" w:cs="Arial"/>
        </w:rPr>
      </w:pPr>
    </w:p>
    <w:p w:rsidR="00182B84" w:rsidRPr="00DA74BA" w:rsidRDefault="00182B84" w:rsidP="00182B84">
      <w:pPr>
        <w:suppressAutoHyphens/>
        <w:adjustRightInd w:val="0"/>
        <w:spacing w:before="57" w:after="57"/>
        <w:jc w:val="both"/>
        <w:textAlignment w:val="center"/>
        <w:rPr>
          <w:rFonts w:ascii="Arial" w:hAnsi="Arial" w:cs="Arial"/>
        </w:rPr>
      </w:pPr>
      <w:r w:rsidRPr="00DA74BA">
        <w:rPr>
          <w:rFonts w:ascii="Arial" w:hAnsi="Arial" w:cs="Arial"/>
          <w:b/>
        </w:rPr>
        <w:t>Parágrafo</w:t>
      </w:r>
      <w:r w:rsidRPr="00DA74BA">
        <w:rPr>
          <w:rFonts w:ascii="Arial" w:hAnsi="Arial" w:cs="Arial"/>
        </w:rPr>
        <w:t xml:space="preserve">. El porcentaje del valor de hecho u objeto del gravamen será determinado por la Asamblea Departamental del </w:t>
      </w:r>
      <w:r w:rsidR="00830D97" w:rsidRPr="00DA74BA">
        <w:rPr>
          <w:rFonts w:ascii="Arial" w:hAnsi="Arial" w:cs="Arial"/>
        </w:rPr>
        <w:t>Meta,</w:t>
      </w:r>
      <w:r w:rsidRPr="00DA74BA">
        <w:rPr>
          <w:rFonts w:ascii="Arial" w:hAnsi="Arial" w:cs="Arial"/>
        </w:rPr>
        <w:t xml:space="preserve"> pero en todo caso no podrá exceder del 4%.</w:t>
      </w:r>
    </w:p>
    <w:p w:rsidR="00182B84" w:rsidRPr="00DA74BA" w:rsidRDefault="00182B84" w:rsidP="00182B84">
      <w:pPr>
        <w:suppressAutoHyphens/>
        <w:adjustRightInd w:val="0"/>
        <w:spacing w:before="57" w:after="57"/>
        <w:jc w:val="both"/>
        <w:textAlignment w:val="center"/>
        <w:rPr>
          <w:rFonts w:ascii="Arial" w:hAnsi="Arial" w:cs="Arial"/>
        </w:rPr>
      </w:pPr>
    </w:p>
    <w:p w:rsidR="00182B84" w:rsidRPr="00DA74BA" w:rsidRDefault="00182B84" w:rsidP="00830D97">
      <w:pPr>
        <w:suppressAutoHyphens/>
        <w:adjustRightInd w:val="0"/>
        <w:spacing w:before="57" w:after="57"/>
        <w:ind w:firstLine="708"/>
        <w:jc w:val="both"/>
        <w:textAlignment w:val="center"/>
        <w:rPr>
          <w:rFonts w:ascii="Arial" w:hAnsi="Arial" w:cs="Arial"/>
        </w:rPr>
      </w:pPr>
      <w:r w:rsidRPr="00DA74BA">
        <w:rPr>
          <w:rFonts w:ascii="Arial" w:hAnsi="Arial" w:cs="Arial"/>
          <w:b/>
        </w:rPr>
        <w:t>Artículo 5°.</w:t>
      </w:r>
      <w:r w:rsidRPr="00DA74BA">
        <w:rPr>
          <w:rFonts w:ascii="Arial" w:hAnsi="Arial" w:cs="Arial"/>
        </w:rPr>
        <w:t xml:space="preserve"> La obligación de adherir y anular la estampilla que se autoriza mediante esta ley estará a cargo de los funcionarios del</w:t>
      </w:r>
      <w:r w:rsidR="00AA4D1B" w:rsidRPr="00DA74BA">
        <w:rPr>
          <w:rFonts w:ascii="Arial" w:hAnsi="Arial" w:cs="Arial"/>
        </w:rPr>
        <w:t xml:space="preserve"> orden departamental y municipal</w:t>
      </w:r>
      <w:r w:rsidRPr="00DA74BA">
        <w:rPr>
          <w:rFonts w:ascii="Arial" w:hAnsi="Arial" w:cs="Arial"/>
        </w:rPr>
        <w:t xml:space="preserve"> que </w:t>
      </w:r>
      <w:r w:rsidRPr="00DA74BA">
        <w:rPr>
          <w:rFonts w:ascii="Arial" w:hAnsi="Arial" w:cs="Arial"/>
        </w:rPr>
        <w:lastRenderedPageBreak/>
        <w:t>intervengan en los actos o hechos sujetos a gravamen estipulados por la Asamblea mediante ordenanza.</w:t>
      </w:r>
    </w:p>
    <w:p w:rsidR="00AA4D1B" w:rsidRPr="00DA74BA" w:rsidRDefault="00AA4D1B" w:rsidP="00182B84">
      <w:pPr>
        <w:suppressAutoHyphens/>
        <w:adjustRightInd w:val="0"/>
        <w:spacing w:before="57" w:after="57"/>
        <w:jc w:val="both"/>
        <w:textAlignment w:val="center"/>
        <w:rPr>
          <w:rFonts w:ascii="Arial" w:hAnsi="Arial" w:cs="Arial"/>
        </w:rPr>
      </w:pPr>
    </w:p>
    <w:p w:rsidR="00182B84" w:rsidRPr="00DA74BA" w:rsidRDefault="00AA4D1B" w:rsidP="00830D97">
      <w:pPr>
        <w:suppressAutoHyphens/>
        <w:adjustRightInd w:val="0"/>
        <w:spacing w:before="57" w:after="57"/>
        <w:ind w:firstLine="708"/>
        <w:jc w:val="both"/>
        <w:textAlignment w:val="center"/>
        <w:rPr>
          <w:rFonts w:ascii="Arial" w:hAnsi="Arial" w:cs="Arial"/>
        </w:rPr>
      </w:pPr>
      <w:r w:rsidRPr="00DA74BA">
        <w:rPr>
          <w:rFonts w:ascii="Arial" w:hAnsi="Arial" w:cs="Arial"/>
          <w:b/>
        </w:rPr>
        <w:t>Artículo 6°.</w:t>
      </w:r>
      <w:r w:rsidRPr="00DA74BA">
        <w:rPr>
          <w:rFonts w:ascii="Arial" w:hAnsi="Arial" w:cs="Arial"/>
        </w:rPr>
        <w:t xml:space="preserve"> Los recaudos provenientes de la estampilla estarán a cargo de la Secretaría de Hacienda Departamental y, en el caso de los municipios corresponderá su recaudo a las tesorerías municipales, los que serán manejados en cuentas presupuestales de destinación específica dirigidas a la Universidad de los Llanos. Las tesorerías municipales les harán periódicamente las transferencias del recurso a la Secretaría de Hacienda Departamental, la que también llevará una cuenta de destinación específica de estos recursos, para garantizar la destinación prevista en el artículo 3° de la esta ley.</w:t>
      </w:r>
    </w:p>
    <w:p w:rsidR="00AA4D1B" w:rsidRPr="00DA74BA" w:rsidRDefault="00AA4D1B" w:rsidP="00182B84">
      <w:pPr>
        <w:suppressAutoHyphens/>
        <w:adjustRightInd w:val="0"/>
        <w:spacing w:before="57" w:after="57"/>
        <w:jc w:val="both"/>
        <w:textAlignment w:val="center"/>
        <w:rPr>
          <w:rFonts w:ascii="Arial" w:hAnsi="Arial" w:cs="Arial"/>
        </w:rPr>
      </w:pPr>
    </w:p>
    <w:p w:rsidR="00AA4D1B" w:rsidRPr="00DA74BA" w:rsidRDefault="00AA4D1B" w:rsidP="00830D97">
      <w:pPr>
        <w:suppressAutoHyphens/>
        <w:adjustRightInd w:val="0"/>
        <w:spacing w:before="57" w:after="57"/>
        <w:ind w:firstLine="708"/>
        <w:jc w:val="both"/>
        <w:textAlignment w:val="center"/>
        <w:rPr>
          <w:rFonts w:ascii="Arial" w:hAnsi="Arial" w:cs="Arial"/>
        </w:rPr>
      </w:pPr>
      <w:r w:rsidRPr="00DA74BA">
        <w:rPr>
          <w:rFonts w:ascii="Arial" w:hAnsi="Arial" w:cs="Arial"/>
          <w:b/>
        </w:rPr>
        <w:t>Artículo 7°.</w:t>
      </w:r>
      <w:r w:rsidRPr="00DA74BA">
        <w:rPr>
          <w:rFonts w:ascii="Arial" w:hAnsi="Arial" w:cs="Arial"/>
        </w:rPr>
        <w:t xml:space="preserve"> La Contraloría Departamental ejercerá el control y vigilancia fiscal, de los recursos provenientes de la estampilla autorizada. </w:t>
      </w:r>
    </w:p>
    <w:p w:rsidR="00AA4D1B" w:rsidRPr="00DA74BA" w:rsidRDefault="00AA4D1B" w:rsidP="00182B84">
      <w:pPr>
        <w:suppressAutoHyphens/>
        <w:adjustRightInd w:val="0"/>
        <w:spacing w:before="57" w:after="57"/>
        <w:jc w:val="both"/>
        <w:textAlignment w:val="center"/>
        <w:rPr>
          <w:rFonts w:ascii="Arial" w:hAnsi="Arial" w:cs="Arial"/>
        </w:rPr>
      </w:pPr>
    </w:p>
    <w:p w:rsidR="00182B84" w:rsidRPr="00DA74BA" w:rsidRDefault="00AA4D1B" w:rsidP="00182B84">
      <w:pPr>
        <w:suppressAutoHyphens/>
        <w:adjustRightInd w:val="0"/>
        <w:spacing w:before="57" w:after="57"/>
        <w:jc w:val="both"/>
        <w:textAlignment w:val="center"/>
        <w:rPr>
          <w:rFonts w:ascii="Arial" w:eastAsia="Times New Roman" w:hAnsi="Arial" w:cs="Arial"/>
          <w:lang w:eastAsia="es-CO"/>
        </w:rPr>
      </w:pPr>
      <w:r w:rsidRPr="00DA74BA">
        <w:rPr>
          <w:rFonts w:ascii="Arial" w:hAnsi="Arial" w:cs="Arial"/>
        </w:rPr>
        <w:t xml:space="preserve"> </w:t>
      </w:r>
      <w:r w:rsidRPr="00DA74BA">
        <w:rPr>
          <w:rFonts w:ascii="Arial" w:hAnsi="Arial" w:cs="Arial"/>
          <w:b/>
        </w:rPr>
        <w:t>Artículo 8°</w:t>
      </w:r>
      <w:r w:rsidR="00182B84" w:rsidRPr="00DA74BA">
        <w:rPr>
          <w:rFonts w:ascii="Arial" w:hAnsi="Arial" w:cs="Arial"/>
          <w:b/>
        </w:rPr>
        <w:t>.</w:t>
      </w:r>
      <w:r w:rsidR="00182B84" w:rsidRPr="00DA74BA">
        <w:rPr>
          <w:rFonts w:ascii="Arial" w:hAnsi="Arial" w:cs="Arial"/>
        </w:rPr>
        <w:t xml:space="preserve"> </w:t>
      </w:r>
      <w:r w:rsidR="00182B84" w:rsidRPr="00DA74BA">
        <w:rPr>
          <w:rFonts w:ascii="Arial" w:hAnsi="Arial" w:cs="Arial"/>
          <w:b/>
        </w:rPr>
        <w:t>Vigencia.</w:t>
      </w:r>
      <w:r w:rsidR="00182B84" w:rsidRPr="00DA74BA">
        <w:rPr>
          <w:rFonts w:ascii="Arial" w:hAnsi="Arial" w:cs="Arial"/>
        </w:rPr>
        <w:t xml:space="preserve"> La presente ley entrará en vigencia una vez se complete el recaudo del monto contemplado en el artículo 2º de la Ley 1178 de 2007</w:t>
      </w:r>
      <w:r w:rsidRPr="00DA74BA">
        <w:rPr>
          <w:rFonts w:ascii="Arial" w:hAnsi="Arial" w:cs="Arial"/>
        </w:rPr>
        <w:t>.</w:t>
      </w:r>
    </w:p>
    <w:p w:rsidR="0099219C" w:rsidRPr="00DA74BA" w:rsidRDefault="0099219C" w:rsidP="0099219C">
      <w:pPr>
        <w:suppressAutoHyphens/>
        <w:adjustRightInd w:val="0"/>
        <w:spacing w:before="57" w:after="57"/>
        <w:jc w:val="both"/>
        <w:textAlignment w:val="center"/>
        <w:rPr>
          <w:rFonts w:ascii="Arial" w:eastAsia="Times New Roman" w:hAnsi="Arial" w:cs="Arial"/>
          <w:lang w:eastAsia="es-CO"/>
        </w:rPr>
      </w:pPr>
    </w:p>
    <w:p w:rsidR="00611FDA" w:rsidRPr="00DA74BA" w:rsidRDefault="00611FDA" w:rsidP="00611FDA">
      <w:pPr>
        <w:tabs>
          <w:tab w:val="left" w:pos="5245"/>
        </w:tabs>
        <w:rPr>
          <w:rFonts w:ascii="Arial" w:hAnsi="Arial" w:cs="Arial"/>
        </w:rPr>
      </w:pPr>
    </w:p>
    <w:p w:rsidR="003D474D" w:rsidRPr="00DA74BA" w:rsidRDefault="003D474D" w:rsidP="003D474D">
      <w:pPr>
        <w:pStyle w:val="NormalWeb"/>
        <w:shd w:val="clear" w:color="auto" w:fill="FFFFFF"/>
        <w:spacing w:before="0" w:beforeAutospacing="0" w:after="0" w:afterAutospacing="0"/>
        <w:jc w:val="both"/>
        <w:rPr>
          <w:rFonts w:ascii="Arial" w:eastAsiaTheme="minorHAnsi" w:hAnsi="Arial" w:cs="Arial"/>
          <w:sz w:val="22"/>
          <w:szCs w:val="22"/>
          <w:lang w:eastAsia="en-US"/>
        </w:rPr>
      </w:pPr>
      <w:r w:rsidRPr="00DA74BA">
        <w:rPr>
          <w:rFonts w:ascii="Arial" w:eastAsiaTheme="minorHAnsi" w:hAnsi="Arial" w:cs="Arial"/>
          <w:sz w:val="22"/>
          <w:szCs w:val="22"/>
          <w:lang w:eastAsia="en-US"/>
        </w:rPr>
        <w:t xml:space="preserve">Cordialmente, </w:t>
      </w:r>
    </w:p>
    <w:p w:rsidR="003D474D" w:rsidRPr="00DA74BA" w:rsidRDefault="003D474D" w:rsidP="003D474D">
      <w:pPr>
        <w:pStyle w:val="NormalWeb"/>
        <w:shd w:val="clear" w:color="auto" w:fill="FFFFFF"/>
        <w:spacing w:before="0" w:beforeAutospacing="0" w:after="0" w:afterAutospacing="0"/>
        <w:jc w:val="both"/>
        <w:rPr>
          <w:rFonts w:ascii="Arial" w:eastAsiaTheme="minorHAnsi" w:hAnsi="Arial" w:cs="Arial"/>
          <w:sz w:val="22"/>
          <w:szCs w:val="22"/>
          <w:lang w:eastAsia="en-US"/>
        </w:rPr>
      </w:pPr>
    </w:p>
    <w:p w:rsidR="003D474D" w:rsidRPr="00DA74BA" w:rsidRDefault="003D474D" w:rsidP="003D474D">
      <w:pPr>
        <w:pStyle w:val="NormalWeb"/>
        <w:shd w:val="clear" w:color="auto" w:fill="FFFFFF"/>
        <w:spacing w:before="0" w:beforeAutospacing="0" w:after="0" w:afterAutospacing="0"/>
        <w:jc w:val="both"/>
        <w:rPr>
          <w:rFonts w:ascii="Arial" w:eastAsiaTheme="minorHAnsi" w:hAnsi="Arial" w:cs="Arial"/>
          <w:sz w:val="22"/>
          <w:szCs w:val="22"/>
          <w:lang w:eastAsia="en-US"/>
        </w:rPr>
      </w:pPr>
    </w:p>
    <w:p w:rsidR="003D474D" w:rsidRPr="00DA74BA" w:rsidRDefault="003D474D" w:rsidP="003D474D">
      <w:pPr>
        <w:pStyle w:val="NormalWeb"/>
        <w:shd w:val="clear" w:color="auto" w:fill="FFFFFF"/>
        <w:spacing w:before="0" w:beforeAutospacing="0" w:after="0" w:afterAutospacing="0"/>
        <w:jc w:val="both"/>
        <w:rPr>
          <w:rFonts w:ascii="Arial" w:eastAsiaTheme="minorHAnsi" w:hAnsi="Arial" w:cs="Arial"/>
          <w:sz w:val="22"/>
          <w:szCs w:val="22"/>
          <w:lang w:eastAsia="en-US"/>
        </w:rPr>
      </w:pPr>
    </w:p>
    <w:p w:rsidR="003D474D" w:rsidRPr="00DA74BA" w:rsidRDefault="003D474D" w:rsidP="003D474D">
      <w:pPr>
        <w:pStyle w:val="NormalWeb"/>
        <w:shd w:val="clear" w:color="auto" w:fill="FFFFFF"/>
        <w:spacing w:before="0" w:beforeAutospacing="0" w:after="0" w:afterAutospacing="0"/>
        <w:jc w:val="both"/>
        <w:rPr>
          <w:rFonts w:ascii="Arial" w:eastAsiaTheme="minorHAnsi" w:hAnsi="Arial" w:cs="Arial"/>
          <w:sz w:val="22"/>
          <w:szCs w:val="22"/>
          <w:lang w:eastAsia="en-US"/>
        </w:rPr>
      </w:pPr>
    </w:p>
    <w:p w:rsidR="0099219C" w:rsidRPr="00DA74BA" w:rsidRDefault="0099219C" w:rsidP="0099219C">
      <w:pPr>
        <w:adjustRightInd w:val="0"/>
        <w:snapToGrid w:val="0"/>
        <w:spacing w:line="240" w:lineRule="auto"/>
        <w:contextualSpacing/>
        <w:jc w:val="both"/>
        <w:textAlignment w:val="center"/>
        <w:rPr>
          <w:rFonts w:ascii="Arial" w:hAnsi="Arial" w:cs="Arial"/>
          <w:b/>
        </w:rPr>
      </w:pPr>
      <w:r w:rsidRPr="00DA74BA">
        <w:rPr>
          <w:rFonts w:ascii="Arial" w:hAnsi="Arial" w:cs="Arial"/>
          <w:b/>
        </w:rPr>
        <w:t xml:space="preserve">JAIME RODRIGUEZ CONTRERAS   </w:t>
      </w:r>
      <w:r w:rsidRPr="00DA74BA">
        <w:rPr>
          <w:rFonts w:ascii="Arial" w:hAnsi="Arial" w:cs="Arial"/>
          <w:b/>
        </w:rPr>
        <w:tab/>
        <w:t xml:space="preserve"> </w:t>
      </w:r>
    </w:p>
    <w:p w:rsidR="0099219C" w:rsidRPr="00DA74BA" w:rsidRDefault="0099219C" w:rsidP="0099219C">
      <w:pPr>
        <w:adjustRightInd w:val="0"/>
        <w:snapToGrid w:val="0"/>
        <w:spacing w:line="240" w:lineRule="auto"/>
        <w:contextualSpacing/>
        <w:jc w:val="both"/>
        <w:textAlignment w:val="center"/>
        <w:rPr>
          <w:rFonts w:ascii="Arial" w:hAnsi="Arial" w:cs="Arial"/>
        </w:rPr>
      </w:pPr>
      <w:r w:rsidRPr="00DA74BA">
        <w:rPr>
          <w:rFonts w:ascii="Arial" w:hAnsi="Arial" w:cs="Arial"/>
        </w:rPr>
        <w:t>Representante a la Cámara</w:t>
      </w:r>
      <w:r w:rsidRPr="00DA74BA">
        <w:rPr>
          <w:rFonts w:ascii="Arial" w:hAnsi="Arial" w:cs="Arial"/>
        </w:rPr>
        <w:tab/>
      </w:r>
      <w:r w:rsidRPr="00DA74BA">
        <w:rPr>
          <w:rFonts w:ascii="Arial" w:hAnsi="Arial" w:cs="Arial"/>
        </w:rPr>
        <w:tab/>
      </w:r>
      <w:r w:rsidRPr="00DA74BA">
        <w:rPr>
          <w:rFonts w:ascii="Arial" w:hAnsi="Arial" w:cs="Arial"/>
        </w:rPr>
        <w:tab/>
      </w:r>
    </w:p>
    <w:p w:rsidR="0099219C" w:rsidRPr="00DA74BA" w:rsidRDefault="0099219C" w:rsidP="0099219C">
      <w:pPr>
        <w:adjustRightInd w:val="0"/>
        <w:snapToGrid w:val="0"/>
        <w:spacing w:line="240" w:lineRule="auto"/>
        <w:contextualSpacing/>
        <w:jc w:val="both"/>
        <w:textAlignment w:val="center"/>
        <w:rPr>
          <w:rFonts w:ascii="Arial" w:hAnsi="Arial" w:cs="Arial"/>
        </w:rPr>
      </w:pPr>
      <w:r w:rsidRPr="00DA74BA">
        <w:rPr>
          <w:rFonts w:ascii="Arial" w:hAnsi="Arial" w:cs="Arial"/>
        </w:rPr>
        <w:t>Departamento de Meta</w:t>
      </w:r>
    </w:p>
    <w:p w:rsidR="00611FDA" w:rsidRPr="00DA74BA" w:rsidRDefault="00611FDA">
      <w:pPr>
        <w:rPr>
          <w:rFonts w:ascii="Arial" w:hAnsi="Arial" w:cs="Arial"/>
        </w:rPr>
      </w:pPr>
    </w:p>
    <w:p w:rsidR="0099219C" w:rsidRPr="00DA74BA" w:rsidRDefault="0099219C">
      <w:pPr>
        <w:rPr>
          <w:rFonts w:ascii="Arial" w:hAnsi="Arial" w:cs="Arial"/>
        </w:rPr>
      </w:pPr>
    </w:p>
    <w:p w:rsidR="00AA4D1B" w:rsidRPr="00DA74BA" w:rsidRDefault="00AA4D1B">
      <w:pPr>
        <w:rPr>
          <w:rFonts w:ascii="Arial" w:hAnsi="Arial" w:cs="Arial"/>
        </w:rPr>
      </w:pPr>
    </w:p>
    <w:p w:rsidR="00AA4D1B" w:rsidRPr="00DA74BA" w:rsidRDefault="00AA4D1B">
      <w:pPr>
        <w:rPr>
          <w:rFonts w:ascii="Arial" w:hAnsi="Arial" w:cs="Arial"/>
        </w:rPr>
      </w:pPr>
    </w:p>
    <w:p w:rsidR="00AA4D1B" w:rsidRPr="00DA74BA" w:rsidRDefault="00AA4D1B">
      <w:pPr>
        <w:rPr>
          <w:rFonts w:ascii="Arial" w:hAnsi="Arial" w:cs="Arial"/>
        </w:rPr>
      </w:pPr>
    </w:p>
    <w:p w:rsidR="00AA4D1B" w:rsidRPr="00DA74BA" w:rsidRDefault="00AA4D1B">
      <w:pPr>
        <w:rPr>
          <w:rFonts w:ascii="Arial" w:hAnsi="Arial" w:cs="Arial"/>
        </w:rPr>
      </w:pPr>
    </w:p>
    <w:p w:rsidR="00AA4D1B" w:rsidRPr="00DA74BA" w:rsidRDefault="00AA4D1B">
      <w:pPr>
        <w:rPr>
          <w:rFonts w:ascii="Arial" w:hAnsi="Arial" w:cs="Arial"/>
        </w:rPr>
      </w:pPr>
    </w:p>
    <w:p w:rsidR="00AA4D1B" w:rsidRPr="00DA74BA" w:rsidRDefault="00AA4D1B">
      <w:pPr>
        <w:rPr>
          <w:rFonts w:ascii="Arial" w:hAnsi="Arial" w:cs="Arial"/>
        </w:rPr>
      </w:pPr>
    </w:p>
    <w:p w:rsidR="00AA4D1B" w:rsidRPr="00DA74BA" w:rsidRDefault="00AA4D1B">
      <w:pPr>
        <w:rPr>
          <w:rFonts w:ascii="Arial" w:hAnsi="Arial" w:cs="Arial"/>
        </w:rPr>
      </w:pPr>
    </w:p>
    <w:p w:rsidR="00DA74BA" w:rsidRPr="00DA74BA" w:rsidRDefault="00DA74BA">
      <w:pPr>
        <w:rPr>
          <w:rFonts w:ascii="Arial" w:hAnsi="Arial" w:cs="Arial"/>
        </w:rPr>
      </w:pPr>
    </w:p>
    <w:p w:rsidR="00FF6A5C" w:rsidRPr="00DA74BA" w:rsidRDefault="0099219C" w:rsidP="00FF6A5C">
      <w:pPr>
        <w:pStyle w:val="CM6"/>
        <w:spacing w:line="276" w:lineRule="auto"/>
        <w:jc w:val="center"/>
        <w:rPr>
          <w:rFonts w:ascii="Arial" w:hAnsi="Arial" w:cs="Arial"/>
          <w:b/>
          <w:bCs/>
          <w:color w:val="000000"/>
          <w:sz w:val="22"/>
          <w:szCs w:val="22"/>
          <w:shd w:val="clear" w:color="auto" w:fill="FFFFFF"/>
          <w:lang w:val="es-ES_tradnl"/>
        </w:rPr>
      </w:pPr>
      <w:r w:rsidRPr="00DA74BA">
        <w:rPr>
          <w:rFonts w:ascii="Arial" w:hAnsi="Arial" w:cs="Arial"/>
          <w:b/>
          <w:bCs/>
          <w:color w:val="000000"/>
          <w:sz w:val="22"/>
          <w:szCs w:val="22"/>
          <w:shd w:val="clear" w:color="auto" w:fill="FFFFFF"/>
          <w:lang w:val="es-ES_tradnl"/>
        </w:rPr>
        <w:lastRenderedPageBreak/>
        <w:t xml:space="preserve">EXPOSICIÓN DE MOTIVOS AL PROYECTO DE </w:t>
      </w:r>
      <w:r w:rsidR="00FF6A5C" w:rsidRPr="00DA74BA">
        <w:rPr>
          <w:rFonts w:ascii="Arial" w:hAnsi="Arial" w:cs="Arial"/>
          <w:b/>
          <w:bCs/>
          <w:color w:val="000000"/>
          <w:sz w:val="22"/>
          <w:szCs w:val="22"/>
          <w:shd w:val="clear" w:color="auto" w:fill="FFFFFF"/>
          <w:lang w:val="es-ES_tradnl"/>
        </w:rPr>
        <w:t xml:space="preserve">LEY </w:t>
      </w:r>
      <w:r w:rsidRPr="00DA74BA">
        <w:rPr>
          <w:rFonts w:ascii="Arial" w:hAnsi="Arial" w:cs="Arial"/>
          <w:b/>
          <w:bCs/>
          <w:color w:val="000000"/>
          <w:sz w:val="22"/>
          <w:szCs w:val="22"/>
          <w:shd w:val="clear" w:color="auto" w:fill="FFFFFF"/>
          <w:lang w:val="es-ES_tradnl"/>
        </w:rPr>
        <w:t>NO.________ DE 2019</w:t>
      </w:r>
      <w:r w:rsidR="00FF6A5C" w:rsidRPr="00DA74BA">
        <w:rPr>
          <w:rFonts w:ascii="Arial" w:hAnsi="Arial" w:cs="Arial"/>
          <w:b/>
          <w:bCs/>
          <w:color w:val="000000"/>
          <w:sz w:val="22"/>
          <w:szCs w:val="22"/>
          <w:shd w:val="clear" w:color="auto" w:fill="FFFFFF"/>
          <w:lang w:val="es-ES_tradnl"/>
        </w:rPr>
        <w:t xml:space="preserve"> CÁMARA</w:t>
      </w:r>
    </w:p>
    <w:p w:rsidR="00830D97" w:rsidRPr="00DA74BA" w:rsidRDefault="00830D97" w:rsidP="00830D97">
      <w:pPr>
        <w:suppressAutoHyphens/>
        <w:adjustRightInd w:val="0"/>
        <w:spacing w:before="57" w:after="57" w:line="288" w:lineRule="auto"/>
        <w:jc w:val="center"/>
        <w:textAlignment w:val="center"/>
        <w:rPr>
          <w:rFonts w:ascii="Arial" w:eastAsia="Calibri" w:hAnsi="Arial" w:cs="Arial"/>
          <w:b/>
          <w:i/>
          <w:iCs/>
          <w:color w:val="000000"/>
          <w:lang w:val="es-ES_tradnl"/>
        </w:rPr>
      </w:pPr>
    </w:p>
    <w:p w:rsidR="00830D97" w:rsidRPr="00DA74BA" w:rsidRDefault="00830D97" w:rsidP="00830D97">
      <w:pPr>
        <w:suppressAutoHyphens/>
        <w:adjustRightInd w:val="0"/>
        <w:spacing w:before="57" w:after="57" w:line="288" w:lineRule="auto"/>
        <w:jc w:val="center"/>
        <w:textAlignment w:val="center"/>
        <w:rPr>
          <w:rFonts w:ascii="Arial" w:eastAsia="Calibri" w:hAnsi="Arial" w:cs="Arial"/>
          <w:b/>
          <w:i/>
          <w:iCs/>
          <w:color w:val="000000"/>
          <w:lang w:val="es-ES_tradnl"/>
        </w:rPr>
      </w:pPr>
      <w:r w:rsidRPr="00DA74BA">
        <w:rPr>
          <w:rFonts w:ascii="Arial" w:eastAsia="Calibri" w:hAnsi="Arial" w:cs="Arial"/>
          <w:b/>
          <w:i/>
          <w:iCs/>
          <w:color w:val="000000"/>
          <w:lang w:val="es-ES_tradnl"/>
        </w:rPr>
        <w:t>“</w:t>
      </w:r>
      <w:r w:rsidR="008373B7">
        <w:rPr>
          <w:rFonts w:ascii="Arial" w:hAnsi="Arial" w:cs="Arial"/>
          <w:b/>
        </w:rPr>
        <w:t>POR LA CUAL SE AMPLIA</w:t>
      </w:r>
      <w:bookmarkStart w:id="0" w:name="_GoBack"/>
      <w:bookmarkEnd w:id="0"/>
      <w:r w:rsidRPr="00DA74BA">
        <w:rPr>
          <w:rFonts w:ascii="Arial" w:hAnsi="Arial" w:cs="Arial"/>
          <w:b/>
        </w:rPr>
        <w:t xml:space="preserve"> LA AUTORIZA A LA ASAMBLEA DEPARTAMENTAL DEL META PARA ORDENAR LA EMISIÓN DE LA ESTAMPILLA "UNIVERSIDAD DE LOS LLANOS" Y SE DICTAN OTRAS DISPOSICIONES</w:t>
      </w:r>
      <w:r w:rsidRPr="00DA74BA">
        <w:rPr>
          <w:rFonts w:ascii="Arial" w:eastAsia="Calibri" w:hAnsi="Arial" w:cs="Arial"/>
          <w:b/>
          <w:i/>
          <w:iCs/>
          <w:color w:val="000000"/>
          <w:lang w:val="es-ES_tradnl"/>
        </w:rPr>
        <w:t>”.</w:t>
      </w:r>
    </w:p>
    <w:p w:rsidR="00DA74BA" w:rsidRPr="00DA74BA" w:rsidRDefault="00DA74BA" w:rsidP="00DA74BA">
      <w:pPr>
        <w:suppressAutoHyphens/>
        <w:adjustRightInd w:val="0"/>
        <w:spacing w:before="57" w:after="57" w:line="288" w:lineRule="auto"/>
        <w:textAlignment w:val="center"/>
        <w:rPr>
          <w:rFonts w:ascii="Arial" w:eastAsia="Calibri" w:hAnsi="Arial" w:cs="Arial"/>
          <w:b/>
          <w:i/>
          <w:iCs/>
          <w:color w:val="000000"/>
          <w:lang w:val="es-ES_tradnl"/>
        </w:rPr>
      </w:pPr>
    </w:p>
    <w:p w:rsidR="00DA74BA" w:rsidRPr="00DA74BA" w:rsidRDefault="00DA74BA" w:rsidP="00DA74BA">
      <w:pPr>
        <w:pStyle w:val="Prrafodelista"/>
        <w:numPr>
          <w:ilvl w:val="0"/>
          <w:numId w:val="7"/>
        </w:numPr>
        <w:suppressAutoHyphens/>
        <w:adjustRightInd w:val="0"/>
        <w:spacing w:before="57" w:after="57" w:line="288" w:lineRule="auto"/>
        <w:jc w:val="center"/>
        <w:textAlignment w:val="center"/>
        <w:rPr>
          <w:rFonts w:ascii="Arial" w:eastAsia="Calibri" w:hAnsi="Arial" w:cs="Arial"/>
          <w:b/>
          <w:i/>
          <w:iCs/>
          <w:color w:val="000000"/>
          <w:lang w:val="es-ES_tradnl"/>
        </w:rPr>
      </w:pPr>
      <w:r w:rsidRPr="00DA74BA">
        <w:rPr>
          <w:rFonts w:ascii="Arial" w:eastAsia="Calibri" w:hAnsi="Arial" w:cs="Arial"/>
          <w:b/>
          <w:i/>
          <w:iCs/>
          <w:color w:val="000000"/>
          <w:lang w:val="es-ES_tradnl"/>
        </w:rPr>
        <w:t>LA EDUCACIÓN COMO PILAR FUNDAMENTAL EN EL DEPARTAMENTO DEL META</w:t>
      </w:r>
    </w:p>
    <w:p w:rsidR="00DA74BA" w:rsidRPr="00DA74BA" w:rsidRDefault="00DA74BA" w:rsidP="00DA74BA">
      <w:pPr>
        <w:pStyle w:val="Prrafodelista"/>
        <w:suppressAutoHyphens/>
        <w:adjustRightInd w:val="0"/>
        <w:spacing w:before="57" w:after="57" w:line="288" w:lineRule="auto"/>
        <w:textAlignment w:val="center"/>
        <w:rPr>
          <w:rFonts w:ascii="Arial" w:eastAsia="Calibri" w:hAnsi="Arial" w:cs="Arial"/>
          <w:b/>
          <w:i/>
          <w:iCs/>
          <w:color w:val="000000"/>
          <w:lang w:val="es-ES_tradnl"/>
        </w:rPr>
      </w:pPr>
    </w:p>
    <w:p w:rsidR="00DA74BA" w:rsidRPr="00DA74BA" w:rsidRDefault="00DA74BA" w:rsidP="00DA74BA">
      <w:pPr>
        <w:spacing w:line="360" w:lineRule="auto"/>
        <w:jc w:val="both"/>
        <w:rPr>
          <w:rFonts w:ascii="Arial" w:hAnsi="Arial" w:cs="Arial"/>
          <w:lang w:val="es-ES"/>
        </w:rPr>
      </w:pPr>
      <w:r w:rsidRPr="00DA74BA">
        <w:rPr>
          <w:rFonts w:ascii="Arial" w:hAnsi="Arial" w:cs="Arial"/>
          <w:lang w:val="es-ES"/>
        </w:rPr>
        <w:t>Por tratarse de la ciudad con mayor nivel de desarrollo y mejores condiciones de calidad de vida de la Orinoquia, Villavicencio se ha venido consolidando progresivamente como el centro regional de educación superior, al cual llegan jóvenes de los departamentos vecinos a recibir sus estudios en pregrado y posgrado, tal como se concluye de la comparación con las ciudades capitales de los 6 departamentos que conforman la región (Arauca, Casanare, Vaupés, Vichada, Guainía, Guaviare y Meta) que se muestra a continuación:</w:t>
      </w:r>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85"/>
        <w:gridCol w:w="3856"/>
        <w:gridCol w:w="2149"/>
      </w:tblGrid>
      <w:tr w:rsidR="00DA74BA" w:rsidRPr="00DA74BA" w:rsidTr="00A87AF2">
        <w:trPr>
          <w:trHeight w:val="835"/>
          <w:jc w:val="center"/>
        </w:trPr>
        <w:tc>
          <w:tcPr>
            <w:tcW w:w="9090" w:type="dxa"/>
            <w:gridSpan w:val="3"/>
            <w:shd w:val="clear" w:color="auto" w:fill="F2F2F2"/>
            <w:noWrap/>
            <w:vAlign w:val="center"/>
          </w:tcPr>
          <w:p w:rsidR="00DA74BA" w:rsidRPr="00DA74BA" w:rsidRDefault="00DA74BA" w:rsidP="00A87AF2">
            <w:pPr>
              <w:spacing w:line="360" w:lineRule="auto"/>
              <w:jc w:val="center"/>
              <w:rPr>
                <w:rFonts w:ascii="Arial" w:hAnsi="Arial" w:cs="Arial"/>
                <w:b/>
                <w:bCs/>
                <w:lang w:val="es-ES" w:bidi="bn-IN"/>
              </w:rPr>
            </w:pPr>
            <w:r w:rsidRPr="00DA74BA">
              <w:rPr>
                <w:rFonts w:ascii="Arial" w:hAnsi="Arial" w:cs="Arial"/>
                <w:b/>
                <w:bCs/>
                <w:lang w:val="es-ES" w:bidi="bn-IN"/>
              </w:rPr>
              <w:t>Número de Estudiantes de Educación Superior Matriculados en ciudades capitales de la Orinoquía en 2016</w:t>
            </w:r>
            <w:r w:rsidRPr="00DA74BA">
              <w:rPr>
                <w:rStyle w:val="Refdenotaalpie"/>
                <w:rFonts w:ascii="Arial" w:hAnsi="Arial" w:cs="Arial"/>
                <w:b/>
                <w:bCs/>
                <w:lang w:val="es-ES" w:bidi="bn-IN"/>
              </w:rPr>
              <w:footnoteReference w:id="1"/>
            </w:r>
          </w:p>
        </w:tc>
      </w:tr>
      <w:tr w:rsidR="00DA74BA" w:rsidRPr="00DA74BA" w:rsidTr="00A87AF2">
        <w:trPr>
          <w:trHeight w:val="563"/>
          <w:jc w:val="center"/>
        </w:trPr>
        <w:tc>
          <w:tcPr>
            <w:tcW w:w="3085" w:type="dxa"/>
            <w:shd w:val="clear" w:color="auto" w:fill="F2F2F2"/>
            <w:noWrap/>
            <w:vAlign w:val="center"/>
          </w:tcPr>
          <w:p w:rsidR="00DA74BA" w:rsidRPr="00DA74BA" w:rsidRDefault="00DA74BA" w:rsidP="00A87AF2">
            <w:pPr>
              <w:spacing w:line="360" w:lineRule="auto"/>
              <w:jc w:val="center"/>
              <w:rPr>
                <w:rFonts w:ascii="Arial" w:hAnsi="Arial" w:cs="Arial"/>
                <w:b/>
                <w:bCs/>
                <w:lang w:val="es-ES" w:bidi="bn-IN"/>
              </w:rPr>
            </w:pPr>
            <w:r w:rsidRPr="00DA74BA">
              <w:rPr>
                <w:rFonts w:ascii="Arial" w:hAnsi="Arial" w:cs="Arial"/>
                <w:b/>
                <w:bCs/>
                <w:lang w:val="es-ES" w:bidi="bn-IN"/>
              </w:rPr>
              <w:t>Departamento</w:t>
            </w:r>
          </w:p>
        </w:tc>
        <w:tc>
          <w:tcPr>
            <w:tcW w:w="3856" w:type="dxa"/>
            <w:shd w:val="clear" w:color="auto" w:fill="F2F2F2"/>
            <w:noWrap/>
            <w:vAlign w:val="center"/>
          </w:tcPr>
          <w:p w:rsidR="00DA74BA" w:rsidRPr="00DA74BA" w:rsidRDefault="00DA74BA" w:rsidP="00A87AF2">
            <w:pPr>
              <w:spacing w:line="360" w:lineRule="auto"/>
              <w:jc w:val="center"/>
              <w:rPr>
                <w:rFonts w:ascii="Arial" w:hAnsi="Arial" w:cs="Arial"/>
                <w:b/>
                <w:bCs/>
                <w:lang w:val="es-ES" w:bidi="bn-IN"/>
              </w:rPr>
            </w:pPr>
            <w:r w:rsidRPr="00DA74BA">
              <w:rPr>
                <w:rFonts w:ascii="Arial" w:hAnsi="Arial" w:cs="Arial"/>
                <w:b/>
                <w:bCs/>
                <w:lang w:val="es-ES" w:bidi="bn-IN"/>
              </w:rPr>
              <w:t>Ciudad</w:t>
            </w:r>
          </w:p>
        </w:tc>
        <w:tc>
          <w:tcPr>
            <w:tcW w:w="2149" w:type="dxa"/>
            <w:shd w:val="clear" w:color="auto" w:fill="F2F2F2"/>
            <w:noWrap/>
            <w:vAlign w:val="center"/>
          </w:tcPr>
          <w:p w:rsidR="00DA74BA" w:rsidRPr="00DA74BA" w:rsidRDefault="00DA74BA" w:rsidP="00A87AF2">
            <w:pPr>
              <w:spacing w:line="360" w:lineRule="auto"/>
              <w:jc w:val="center"/>
              <w:rPr>
                <w:rFonts w:ascii="Arial" w:hAnsi="Arial" w:cs="Arial"/>
                <w:b/>
                <w:bCs/>
                <w:lang w:val="es-ES" w:bidi="bn-IN"/>
              </w:rPr>
            </w:pPr>
            <w:r w:rsidRPr="00DA74BA">
              <w:rPr>
                <w:rFonts w:ascii="Arial" w:hAnsi="Arial" w:cs="Arial"/>
                <w:b/>
                <w:bCs/>
                <w:lang w:val="es-ES" w:bidi="bn-IN"/>
              </w:rPr>
              <w:t>Número</w:t>
            </w:r>
          </w:p>
        </w:tc>
      </w:tr>
      <w:tr w:rsidR="00DA74BA" w:rsidRPr="00DA74BA" w:rsidTr="00A87AF2">
        <w:trPr>
          <w:trHeight w:val="454"/>
          <w:jc w:val="center"/>
        </w:trPr>
        <w:tc>
          <w:tcPr>
            <w:tcW w:w="3085" w:type="dxa"/>
            <w:shd w:val="clear" w:color="auto" w:fill="auto"/>
            <w:noWrap/>
            <w:vAlign w:val="center"/>
            <w:hideMark/>
          </w:tcPr>
          <w:p w:rsidR="00DA74BA" w:rsidRPr="00DA74BA" w:rsidRDefault="00DA74BA" w:rsidP="00A87AF2">
            <w:pPr>
              <w:spacing w:line="360" w:lineRule="auto"/>
              <w:rPr>
                <w:rFonts w:ascii="Arial" w:hAnsi="Arial" w:cs="Arial"/>
                <w:lang w:val="es-ES" w:bidi="bn-IN"/>
              </w:rPr>
            </w:pPr>
            <w:r w:rsidRPr="00DA74BA">
              <w:rPr>
                <w:rFonts w:ascii="Arial" w:hAnsi="Arial" w:cs="Arial"/>
                <w:lang w:val="es-ES" w:bidi="bn-IN"/>
              </w:rPr>
              <w:t>Meta</w:t>
            </w:r>
          </w:p>
        </w:tc>
        <w:tc>
          <w:tcPr>
            <w:tcW w:w="3856" w:type="dxa"/>
            <w:shd w:val="clear" w:color="auto" w:fill="auto"/>
            <w:noWrap/>
            <w:vAlign w:val="center"/>
            <w:hideMark/>
          </w:tcPr>
          <w:p w:rsidR="00DA74BA" w:rsidRPr="00DA74BA" w:rsidRDefault="00DA74BA" w:rsidP="00A87AF2">
            <w:pPr>
              <w:spacing w:line="360" w:lineRule="auto"/>
              <w:rPr>
                <w:rFonts w:ascii="Arial" w:hAnsi="Arial" w:cs="Arial"/>
                <w:lang w:val="es-ES" w:bidi="bn-IN"/>
              </w:rPr>
            </w:pPr>
            <w:r w:rsidRPr="00DA74BA">
              <w:rPr>
                <w:rFonts w:ascii="Arial" w:hAnsi="Arial" w:cs="Arial"/>
                <w:lang w:val="es-ES" w:bidi="bn-IN"/>
              </w:rPr>
              <w:t>Villavicencio</w:t>
            </w:r>
          </w:p>
        </w:tc>
        <w:tc>
          <w:tcPr>
            <w:tcW w:w="2149"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30.416</w:t>
            </w:r>
          </w:p>
        </w:tc>
      </w:tr>
      <w:tr w:rsidR="00DA74BA" w:rsidRPr="00DA74BA" w:rsidTr="00A87AF2">
        <w:trPr>
          <w:trHeight w:val="454"/>
          <w:jc w:val="center"/>
        </w:trPr>
        <w:tc>
          <w:tcPr>
            <w:tcW w:w="3085" w:type="dxa"/>
            <w:shd w:val="clear" w:color="auto" w:fill="auto"/>
            <w:noWrap/>
            <w:vAlign w:val="center"/>
            <w:hideMark/>
          </w:tcPr>
          <w:p w:rsidR="00DA74BA" w:rsidRPr="00DA74BA" w:rsidRDefault="00DA74BA" w:rsidP="00A87AF2">
            <w:pPr>
              <w:spacing w:line="360" w:lineRule="auto"/>
              <w:rPr>
                <w:rFonts w:ascii="Arial" w:hAnsi="Arial" w:cs="Arial"/>
                <w:lang w:val="es-ES" w:bidi="bn-IN"/>
              </w:rPr>
            </w:pPr>
            <w:r w:rsidRPr="00DA74BA">
              <w:rPr>
                <w:rFonts w:ascii="Arial" w:hAnsi="Arial" w:cs="Arial"/>
                <w:lang w:val="es-ES" w:bidi="bn-IN"/>
              </w:rPr>
              <w:t>Casanare</w:t>
            </w:r>
          </w:p>
        </w:tc>
        <w:tc>
          <w:tcPr>
            <w:tcW w:w="3856" w:type="dxa"/>
            <w:shd w:val="clear" w:color="auto" w:fill="auto"/>
            <w:noWrap/>
            <w:vAlign w:val="center"/>
            <w:hideMark/>
          </w:tcPr>
          <w:p w:rsidR="00DA74BA" w:rsidRPr="00DA74BA" w:rsidRDefault="00DA74BA" w:rsidP="00A87AF2">
            <w:pPr>
              <w:spacing w:line="360" w:lineRule="auto"/>
              <w:rPr>
                <w:rFonts w:ascii="Arial" w:hAnsi="Arial" w:cs="Arial"/>
                <w:lang w:val="es-ES" w:bidi="bn-IN"/>
              </w:rPr>
            </w:pPr>
            <w:r w:rsidRPr="00DA74BA">
              <w:rPr>
                <w:rFonts w:ascii="Arial" w:hAnsi="Arial" w:cs="Arial"/>
                <w:lang w:val="es-ES" w:bidi="bn-IN"/>
              </w:rPr>
              <w:t>Yopal</w:t>
            </w:r>
          </w:p>
        </w:tc>
        <w:tc>
          <w:tcPr>
            <w:tcW w:w="2149"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9.291</w:t>
            </w:r>
          </w:p>
        </w:tc>
      </w:tr>
      <w:tr w:rsidR="00DA74BA" w:rsidRPr="00DA74BA" w:rsidTr="00A87AF2">
        <w:trPr>
          <w:trHeight w:val="454"/>
          <w:jc w:val="center"/>
        </w:trPr>
        <w:tc>
          <w:tcPr>
            <w:tcW w:w="3085" w:type="dxa"/>
            <w:shd w:val="clear" w:color="auto" w:fill="auto"/>
            <w:noWrap/>
            <w:vAlign w:val="center"/>
            <w:hideMark/>
          </w:tcPr>
          <w:p w:rsidR="00DA74BA" w:rsidRPr="00DA74BA" w:rsidRDefault="00DA74BA" w:rsidP="00A87AF2">
            <w:pPr>
              <w:spacing w:line="360" w:lineRule="auto"/>
              <w:rPr>
                <w:rFonts w:ascii="Arial" w:hAnsi="Arial" w:cs="Arial"/>
                <w:lang w:val="es-ES" w:bidi="bn-IN"/>
              </w:rPr>
            </w:pPr>
            <w:r w:rsidRPr="00DA74BA">
              <w:rPr>
                <w:rFonts w:ascii="Arial" w:hAnsi="Arial" w:cs="Arial"/>
                <w:lang w:val="es-ES" w:bidi="bn-IN"/>
              </w:rPr>
              <w:t>Arauca</w:t>
            </w:r>
          </w:p>
        </w:tc>
        <w:tc>
          <w:tcPr>
            <w:tcW w:w="3856" w:type="dxa"/>
            <w:shd w:val="clear" w:color="auto" w:fill="auto"/>
            <w:noWrap/>
            <w:vAlign w:val="center"/>
            <w:hideMark/>
          </w:tcPr>
          <w:p w:rsidR="00DA74BA" w:rsidRPr="00DA74BA" w:rsidRDefault="00DA74BA" w:rsidP="00A87AF2">
            <w:pPr>
              <w:spacing w:line="360" w:lineRule="auto"/>
              <w:rPr>
                <w:rFonts w:ascii="Arial" w:hAnsi="Arial" w:cs="Arial"/>
                <w:lang w:val="es-ES" w:bidi="bn-IN"/>
              </w:rPr>
            </w:pPr>
            <w:r w:rsidRPr="00DA74BA">
              <w:rPr>
                <w:rFonts w:ascii="Arial" w:hAnsi="Arial" w:cs="Arial"/>
                <w:lang w:val="es-ES" w:bidi="bn-IN"/>
              </w:rPr>
              <w:t>Arauca</w:t>
            </w:r>
          </w:p>
        </w:tc>
        <w:tc>
          <w:tcPr>
            <w:tcW w:w="2149"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2.631</w:t>
            </w:r>
          </w:p>
        </w:tc>
      </w:tr>
      <w:tr w:rsidR="00DA74BA" w:rsidRPr="00DA74BA" w:rsidTr="00A87AF2">
        <w:trPr>
          <w:trHeight w:val="454"/>
          <w:jc w:val="center"/>
        </w:trPr>
        <w:tc>
          <w:tcPr>
            <w:tcW w:w="3085" w:type="dxa"/>
            <w:shd w:val="clear" w:color="auto" w:fill="auto"/>
            <w:noWrap/>
            <w:vAlign w:val="center"/>
          </w:tcPr>
          <w:p w:rsidR="00DA74BA" w:rsidRPr="00DA74BA" w:rsidRDefault="00DA74BA" w:rsidP="00A87AF2">
            <w:pPr>
              <w:spacing w:line="360" w:lineRule="auto"/>
              <w:rPr>
                <w:rFonts w:ascii="Arial" w:hAnsi="Arial" w:cs="Arial"/>
                <w:lang w:val="es-ES" w:bidi="bn-IN"/>
              </w:rPr>
            </w:pPr>
            <w:r w:rsidRPr="00DA74BA">
              <w:rPr>
                <w:rFonts w:ascii="Arial" w:hAnsi="Arial" w:cs="Arial"/>
                <w:lang w:val="es-ES" w:bidi="bn-IN"/>
              </w:rPr>
              <w:t>Guaviare</w:t>
            </w:r>
          </w:p>
        </w:tc>
        <w:tc>
          <w:tcPr>
            <w:tcW w:w="3856" w:type="dxa"/>
            <w:shd w:val="clear" w:color="auto" w:fill="auto"/>
            <w:noWrap/>
            <w:vAlign w:val="center"/>
          </w:tcPr>
          <w:p w:rsidR="00DA74BA" w:rsidRPr="00DA74BA" w:rsidRDefault="00DA74BA" w:rsidP="00A87AF2">
            <w:pPr>
              <w:spacing w:line="360" w:lineRule="auto"/>
              <w:rPr>
                <w:rFonts w:ascii="Arial" w:hAnsi="Arial" w:cs="Arial"/>
                <w:lang w:val="es-ES" w:bidi="bn-IN"/>
              </w:rPr>
            </w:pPr>
            <w:r w:rsidRPr="00DA74BA">
              <w:rPr>
                <w:rFonts w:ascii="Arial" w:hAnsi="Arial" w:cs="Arial"/>
                <w:lang w:val="es-ES" w:bidi="bn-IN"/>
              </w:rPr>
              <w:t>San José del Guaviare</w:t>
            </w:r>
          </w:p>
        </w:tc>
        <w:tc>
          <w:tcPr>
            <w:tcW w:w="2149" w:type="dxa"/>
            <w:shd w:val="clear" w:color="auto" w:fill="auto"/>
            <w:noWrap/>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2.112</w:t>
            </w:r>
          </w:p>
        </w:tc>
      </w:tr>
      <w:tr w:rsidR="00DA74BA" w:rsidRPr="00DA74BA" w:rsidTr="00A87AF2">
        <w:trPr>
          <w:trHeight w:val="454"/>
          <w:jc w:val="center"/>
        </w:trPr>
        <w:tc>
          <w:tcPr>
            <w:tcW w:w="3085" w:type="dxa"/>
            <w:shd w:val="clear" w:color="auto" w:fill="auto"/>
            <w:noWrap/>
            <w:vAlign w:val="center"/>
            <w:hideMark/>
          </w:tcPr>
          <w:p w:rsidR="00DA74BA" w:rsidRPr="00DA74BA" w:rsidRDefault="00DA74BA" w:rsidP="00A87AF2">
            <w:pPr>
              <w:spacing w:line="360" w:lineRule="auto"/>
              <w:rPr>
                <w:rFonts w:ascii="Arial" w:hAnsi="Arial" w:cs="Arial"/>
                <w:lang w:val="es-ES" w:bidi="bn-IN"/>
              </w:rPr>
            </w:pPr>
            <w:r w:rsidRPr="00DA74BA">
              <w:rPr>
                <w:rFonts w:ascii="Arial" w:hAnsi="Arial" w:cs="Arial"/>
                <w:lang w:val="es-ES" w:bidi="bn-IN"/>
              </w:rPr>
              <w:t>Vichada</w:t>
            </w:r>
          </w:p>
        </w:tc>
        <w:tc>
          <w:tcPr>
            <w:tcW w:w="3856" w:type="dxa"/>
            <w:shd w:val="clear" w:color="auto" w:fill="auto"/>
            <w:noWrap/>
            <w:vAlign w:val="center"/>
            <w:hideMark/>
          </w:tcPr>
          <w:p w:rsidR="00DA74BA" w:rsidRPr="00DA74BA" w:rsidRDefault="00DA74BA" w:rsidP="00A87AF2">
            <w:pPr>
              <w:spacing w:line="360" w:lineRule="auto"/>
              <w:rPr>
                <w:rFonts w:ascii="Arial" w:hAnsi="Arial" w:cs="Arial"/>
                <w:lang w:val="es-ES" w:bidi="bn-IN"/>
              </w:rPr>
            </w:pPr>
            <w:r w:rsidRPr="00DA74BA">
              <w:rPr>
                <w:rFonts w:ascii="Arial" w:hAnsi="Arial" w:cs="Arial"/>
                <w:lang w:val="es-ES" w:bidi="bn-IN"/>
              </w:rPr>
              <w:t>Puerto Carreño</w:t>
            </w:r>
          </w:p>
        </w:tc>
        <w:tc>
          <w:tcPr>
            <w:tcW w:w="2149"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908</w:t>
            </w:r>
          </w:p>
        </w:tc>
      </w:tr>
      <w:tr w:rsidR="00DA74BA" w:rsidRPr="00DA74BA" w:rsidTr="00A87AF2">
        <w:trPr>
          <w:trHeight w:val="454"/>
          <w:jc w:val="center"/>
        </w:trPr>
        <w:tc>
          <w:tcPr>
            <w:tcW w:w="3085" w:type="dxa"/>
            <w:shd w:val="clear" w:color="auto" w:fill="auto"/>
            <w:noWrap/>
            <w:vAlign w:val="center"/>
            <w:hideMark/>
          </w:tcPr>
          <w:p w:rsidR="00DA74BA" w:rsidRPr="00DA74BA" w:rsidRDefault="00DA74BA" w:rsidP="00A87AF2">
            <w:pPr>
              <w:spacing w:line="360" w:lineRule="auto"/>
              <w:rPr>
                <w:rFonts w:ascii="Arial" w:hAnsi="Arial" w:cs="Arial"/>
                <w:lang w:val="es-ES" w:bidi="bn-IN"/>
              </w:rPr>
            </w:pPr>
            <w:r w:rsidRPr="00DA74BA">
              <w:rPr>
                <w:rFonts w:ascii="Arial" w:hAnsi="Arial" w:cs="Arial"/>
                <w:lang w:val="es-ES" w:bidi="bn-IN"/>
              </w:rPr>
              <w:t>Guainía</w:t>
            </w:r>
          </w:p>
        </w:tc>
        <w:tc>
          <w:tcPr>
            <w:tcW w:w="3856" w:type="dxa"/>
            <w:shd w:val="clear" w:color="auto" w:fill="auto"/>
            <w:noWrap/>
            <w:vAlign w:val="center"/>
            <w:hideMark/>
          </w:tcPr>
          <w:p w:rsidR="00DA74BA" w:rsidRPr="00DA74BA" w:rsidRDefault="00DA74BA" w:rsidP="00A87AF2">
            <w:pPr>
              <w:spacing w:line="360" w:lineRule="auto"/>
              <w:rPr>
                <w:rFonts w:ascii="Arial" w:hAnsi="Arial" w:cs="Arial"/>
                <w:lang w:val="es-ES" w:bidi="bn-IN"/>
              </w:rPr>
            </w:pPr>
            <w:r w:rsidRPr="00DA74BA">
              <w:rPr>
                <w:rFonts w:ascii="Arial" w:hAnsi="Arial" w:cs="Arial"/>
                <w:lang w:val="es-ES" w:bidi="bn-IN"/>
              </w:rPr>
              <w:t>Puerto Inírida</w:t>
            </w:r>
          </w:p>
        </w:tc>
        <w:tc>
          <w:tcPr>
            <w:tcW w:w="2149"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609</w:t>
            </w:r>
          </w:p>
        </w:tc>
      </w:tr>
      <w:tr w:rsidR="00DA74BA" w:rsidRPr="00DA74BA" w:rsidTr="00A87AF2">
        <w:trPr>
          <w:trHeight w:val="454"/>
          <w:jc w:val="center"/>
        </w:trPr>
        <w:tc>
          <w:tcPr>
            <w:tcW w:w="3085" w:type="dxa"/>
            <w:shd w:val="clear" w:color="auto" w:fill="auto"/>
            <w:noWrap/>
            <w:vAlign w:val="center"/>
            <w:hideMark/>
          </w:tcPr>
          <w:p w:rsidR="00DA74BA" w:rsidRPr="00DA74BA" w:rsidRDefault="00DA74BA" w:rsidP="00A87AF2">
            <w:pPr>
              <w:spacing w:line="360" w:lineRule="auto"/>
              <w:rPr>
                <w:rFonts w:ascii="Arial" w:hAnsi="Arial" w:cs="Arial"/>
                <w:lang w:val="es-ES" w:bidi="bn-IN"/>
              </w:rPr>
            </w:pPr>
            <w:r w:rsidRPr="00DA74BA">
              <w:rPr>
                <w:rFonts w:ascii="Arial" w:hAnsi="Arial" w:cs="Arial"/>
                <w:lang w:val="es-ES" w:bidi="bn-IN"/>
              </w:rPr>
              <w:t>Vaupés</w:t>
            </w:r>
          </w:p>
        </w:tc>
        <w:tc>
          <w:tcPr>
            <w:tcW w:w="3856" w:type="dxa"/>
            <w:shd w:val="clear" w:color="auto" w:fill="auto"/>
            <w:noWrap/>
            <w:vAlign w:val="center"/>
            <w:hideMark/>
          </w:tcPr>
          <w:p w:rsidR="00DA74BA" w:rsidRPr="00DA74BA" w:rsidRDefault="00DA74BA" w:rsidP="00A87AF2">
            <w:pPr>
              <w:spacing w:line="360" w:lineRule="auto"/>
              <w:rPr>
                <w:rFonts w:ascii="Arial" w:hAnsi="Arial" w:cs="Arial"/>
                <w:lang w:val="es-ES" w:bidi="bn-IN"/>
              </w:rPr>
            </w:pPr>
            <w:r w:rsidRPr="00DA74BA">
              <w:rPr>
                <w:rFonts w:ascii="Arial" w:hAnsi="Arial" w:cs="Arial"/>
                <w:lang w:val="es-ES" w:bidi="bn-IN"/>
              </w:rPr>
              <w:t>Mitú</w:t>
            </w:r>
          </w:p>
        </w:tc>
        <w:tc>
          <w:tcPr>
            <w:tcW w:w="2149"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218</w:t>
            </w:r>
          </w:p>
        </w:tc>
      </w:tr>
    </w:tbl>
    <w:p w:rsidR="00DA74BA" w:rsidRPr="00DA74BA" w:rsidRDefault="00DA74BA" w:rsidP="00DA74BA">
      <w:pPr>
        <w:spacing w:line="360" w:lineRule="auto"/>
        <w:jc w:val="both"/>
        <w:rPr>
          <w:rFonts w:ascii="Arial" w:hAnsi="Arial" w:cs="Arial"/>
          <w:lang w:val="es-ES"/>
        </w:rPr>
      </w:pPr>
    </w:p>
    <w:p w:rsidR="00DA74BA" w:rsidRPr="00DA74BA" w:rsidRDefault="00DA74BA" w:rsidP="00DA74BA">
      <w:pPr>
        <w:spacing w:line="360" w:lineRule="auto"/>
        <w:jc w:val="both"/>
        <w:rPr>
          <w:rFonts w:ascii="Arial" w:hAnsi="Arial" w:cs="Arial"/>
          <w:lang w:val="es-ES"/>
        </w:rPr>
      </w:pPr>
      <w:r w:rsidRPr="00DA74BA">
        <w:rPr>
          <w:rFonts w:ascii="Arial" w:hAnsi="Arial" w:cs="Arial"/>
          <w:lang w:val="es-ES"/>
        </w:rPr>
        <w:lastRenderedPageBreak/>
        <w:t>Como se muestra en la gráfica siguiente</w:t>
      </w:r>
      <w:r w:rsidRPr="00DA74BA">
        <w:rPr>
          <w:rStyle w:val="Refdenotaalpie"/>
          <w:rFonts w:ascii="Arial" w:hAnsi="Arial" w:cs="Arial"/>
          <w:lang w:val="es-ES"/>
        </w:rPr>
        <w:footnoteReference w:id="2"/>
      </w:r>
      <w:r w:rsidRPr="00DA74BA">
        <w:rPr>
          <w:rFonts w:ascii="Arial" w:hAnsi="Arial" w:cs="Arial"/>
          <w:lang w:val="es-ES"/>
        </w:rPr>
        <w:t>, el número de estudiantes matriculados en programas de educación superior en el año 2016 en la ciudad de Villavicencio triplico la cifra de la segunda capital de la región con mayor número de matriculados en el mismo período:</w:t>
      </w:r>
    </w:p>
    <w:p w:rsidR="00DA74BA" w:rsidRPr="00DA74BA" w:rsidRDefault="00DA74BA" w:rsidP="00DA74BA">
      <w:pPr>
        <w:spacing w:line="360" w:lineRule="auto"/>
        <w:jc w:val="center"/>
        <w:rPr>
          <w:rFonts w:ascii="Arial" w:hAnsi="Arial" w:cs="Arial"/>
          <w:lang w:val="es-ES"/>
        </w:rPr>
      </w:pPr>
      <w:r w:rsidRPr="00DA74BA">
        <w:rPr>
          <w:rFonts w:ascii="Arial" w:hAnsi="Arial" w:cs="Arial"/>
          <w:noProof/>
          <w:lang w:eastAsia="es-CO"/>
        </w:rPr>
        <w:drawing>
          <wp:inline distT="0" distB="0" distL="0" distR="0" wp14:anchorId="1754AB4C" wp14:editId="263C3184">
            <wp:extent cx="5497830" cy="2576830"/>
            <wp:effectExtent l="0" t="0" r="7620" b="0"/>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DA74BA" w:rsidRPr="00DA74BA" w:rsidRDefault="00DA74BA" w:rsidP="00DA74BA">
      <w:pPr>
        <w:spacing w:line="360" w:lineRule="auto"/>
        <w:jc w:val="both"/>
        <w:rPr>
          <w:rFonts w:ascii="Arial" w:hAnsi="Arial" w:cs="Arial"/>
          <w:lang w:val="es-ES"/>
        </w:rPr>
      </w:pPr>
      <w:r w:rsidRPr="00DA74BA">
        <w:rPr>
          <w:rFonts w:ascii="Arial" w:hAnsi="Arial" w:cs="Arial"/>
          <w:lang w:val="es-ES"/>
        </w:rPr>
        <w:t>De igual manera, en comparación con los municipios del departamento donde también se ofrecen programas de educación superior la diferencia resulta sustancial, lo que demuestra que, por sus características, Villavicencio se ha constituido en un polo de atracción de población estudiantil de educación superior:</w:t>
      </w:r>
    </w:p>
    <w:tbl>
      <w:tblPr>
        <w:tblW w:w="94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04"/>
        <w:gridCol w:w="1165"/>
        <w:gridCol w:w="1276"/>
        <w:gridCol w:w="1275"/>
        <w:gridCol w:w="1560"/>
        <w:gridCol w:w="992"/>
        <w:gridCol w:w="992"/>
        <w:gridCol w:w="567"/>
      </w:tblGrid>
      <w:tr w:rsidR="00DA74BA" w:rsidRPr="00DA74BA" w:rsidTr="00A87AF2">
        <w:trPr>
          <w:trHeight w:val="765"/>
        </w:trPr>
        <w:tc>
          <w:tcPr>
            <w:tcW w:w="9431" w:type="dxa"/>
            <w:gridSpan w:val="8"/>
            <w:shd w:val="clear" w:color="auto" w:fill="F2F2F2"/>
            <w:vAlign w:val="center"/>
          </w:tcPr>
          <w:p w:rsidR="00DA74BA" w:rsidRPr="00DA74BA" w:rsidRDefault="00DA74BA" w:rsidP="00A87AF2">
            <w:pPr>
              <w:spacing w:line="360" w:lineRule="auto"/>
              <w:jc w:val="center"/>
              <w:rPr>
                <w:rFonts w:ascii="Arial" w:hAnsi="Arial" w:cs="Arial"/>
                <w:b/>
                <w:bCs/>
                <w:lang w:val="es-ES" w:bidi="bn-IN"/>
              </w:rPr>
            </w:pPr>
            <w:r w:rsidRPr="00DA74BA">
              <w:rPr>
                <w:rFonts w:ascii="Arial" w:hAnsi="Arial" w:cs="Arial"/>
                <w:b/>
                <w:bCs/>
                <w:lang w:val="es-ES" w:bidi="bn-IN"/>
              </w:rPr>
              <w:t xml:space="preserve">Estudiantes de Educación Superior matriculados </w:t>
            </w:r>
            <w:r w:rsidRPr="00DA74BA">
              <w:rPr>
                <w:rFonts w:ascii="Arial" w:hAnsi="Arial" w:cs="Arial"/>
                <w:b/>
                <w:bCs/>
                <w:lang w:val="es-ES" w:bidi="bn-IN"/>
              </w:rPr>
              <w:br/>
              <w:t>en el Meta por tipo de formación</w:t>
            </w:r>
            <w:r w:rsidRPr="00DA74BA">
              <w:rPr>
                <w:rStyle w:val="Refdenotaalpie"/>
                <w:rFonts w:ascii="Arial" w:hAnsi="Arial" w:cs="Arial"/>
                <w:b/>
                <w:bCs/>
                <w:lang w:val="es-ES" w:bidi="bn-IN"/>
              </w:rPr>
              <w:footnoteReference w:id="3"/>
            </w:r>
          </w:p>
        </w:tc>
      </w:tr>
      <w:tr w:rsidR="00DA74BA" w:rsidRPr="00DA74BA" w:rsidTr="00A87AF2">
        <w:trPr>
          <w:trHeight w:val="765"/>
        </w:trPr>
        <w:tc>
          <w:tcPr>
            <w:tcW w:w="1604" w:type="dxa"/>
            <w:vMerge w:val="restart"/>
            <w:shd w:val="clear" w:color="auto" w:fill="F2F2F2"/>
            <w:vAlign w:val="center"/>
            <w:hideMark/>
          </w:tcPr>
          <w:p w:rsidR="00DA74BA" w:rsidRPr="00DA74BA" w:rsidRDefault="00DA74BA" w:rsidP="00A87AF2">
            <w:pPr>
              <w:spacing w:line="360" w:lineRule="auto"/>
              <w:rPr>
                <w:rFonts w:ascii="Arial" w:hAnsi="Arial" w:cs="Arial"/>
                <w:b/>
                <w:bCs/>
                <w:lang w:val="es-ES" w:bidi="bn-IN"/>
              </w:rPr>
            </w:pPr>
            <w:r w:rsidRPr="00DA74BA">
              <w:rPr>
                <w:rFonts w:ascii="Arial" w:hAnsi="Arial" w:cs="Arial"/>
                <w:b/>
                <w:bCs/>
                <w:lang w:val="es-ES" w:bidi="bn-IN"/>
              </w:rPr>
              <w:t>Municipio</w:t>
            </w:r>
          </w:p>
        </w:tc>
        <w:tc>
          <w:tcPr>
            <w:tcW w:w="3716" w:type="dxa"/>
            <w:gridSpan w:val="3"/>
            <w:shd w:val="clear" w:color="auto" w:fill="F2F2F2"/>
            <w:vAlign w:val="center"/>
          </w:tcPr>
          <w:p w:rsidR="00DA74BA" w:rsidRPr="00DA74BA" w:rsidRDefault="00DA74BA" w:rsidP="00A87AF2">
            <w:pPr>
              <w:spacing w:line="360" w:lineRule="auto"/>
              <w:jc w:val="center"/>
              <w:rPr>
                <w:rFonts w:ascii="Arial" w:hAnsi="Arial" w:cs="Arial"/>
                <w:b/>
                <w:bCs/>
                <w:lang w:val="es-ES" w:bidi="bn-IN"/>
              </w:rPr>
            </w:pPr>
            <w:r w:rsidRPr="00DA74BA">
              <w:rPr>
                <w:rFonts w:ascii="Arial" w:hAnsi="Arial" w:cs="Arial"/>
                <w:b/>
                <w:bCs/>
                <w:lang w:val="es-ES" w:bidi="bn-IN"/>
              </w:rPr>
              <w:t>Pregrado</w:t>
            </w:r>
          </w:p>
        </w:tc>
        <w:tc>
          <w:tcPr>
            <w:tcW w:w="2552" w:type="dxa"/>
            <w:gridSpan w:val="2"/>
            <w:shd w:val="clear" w:color="auto" w:fill="F2F2F2"/>
            <w:vAlign w:val="center"/>
          </w:tcPr>
          <w:p w:rsidR="00DA74BA" w:rsidRPr="00DA74BA" w:rsidRDefault="00DA74BA" w:rsidP="00A87AF2">
            <w:pPr>
              <w:spacing w:line="360" w:lineRule="auto"/>
              <w:jc w:val="center"/>
              <w:rPr>
                <w:rFonts w:ascii="Arial" w:hAnsi="Arial" w:cs="Arial"/>
                <w:b/>
                <w:bCs/>
                <w:lang w:val="es-ES" w:bidi="bn-IN"/>
              </w:rPr>
            </w:pPr>
            <w:r w:rsidRPr="00DA74BA">
              <w:rPr>
                <w:rFonts w:ascii="Arial" w:hAnsi="Arial" w:cs="Arial"/>
                <w:b/>
                <w:bCs/>
                <w:lang w:val="es-ES" w:bidi="bn-IN"/>
              </w:rPr>
              <w:t>Posgrado</w:t>
            </w:r>
          </w:p>
        </w:tc>
        <w:tc>
          <w:tcPr>
            <w:tcW w:w="992" w:type="dxa"/>
            <w:vMerge w:val="restart"/>
            <w:shd w:val="clear" w:color="auto" w:fill="F2F2F2"/>
            <w:vAlign w:val="center"/>
            <w:hideMark/>
          </w:tcPr>
          <w:p w:rsidR="00DA74BA" w:rsidRPr="00DA74BA" w:rsidRDefault="00DA74BA" w:rsidP="00A87AF2">
            <w:pPr>
              <w:spacing w:line="360" w:lineRule="auto"/>
              <w:jc w:val="center"/>
              <w:rPr>
                <w:rFonts w:ascii="Arial" w:hAnsi="Arial" w:cs="Arial"/>
                <w:b/>
                <w:bCs/>
                <w:lang w:val="es-ES" w:bidi="bn-IN"/>
              </w:rPr>
            </w:pPr>
            <w:r w:rsidRPr="00DA74BA">
              <w:rPr>
                <w:rFonts w:ascii="Arial" w:hAnsi="Arial" w:cs="Arial"/>
                <w:b/>
                <w:bCs/>
                <w:lang w:val="es-ES" w:bidi="bn-IN"/>
              </w:rPr>
              <w:t xml:space="preserve">Total </w:t>
            </w:r>
            <w:proofErr w:type="spellStart"/>
            <w:r w:rsidRPr="00DA74BA">
              <w:rPr>
                <w:rFonts w:ascii="Arial" w:hAnsi="Arial" w:cs="Arial"/>
                <w:b/>
                <w:bCs/>
                <w:lang w:val="es-ES" w:bidi="bn-IN"/>
              </w:rPr>
              <w:t>Estudi</w:t>
            </w:r>
            <w:proofErr w:type="spellEnd"/>
            <w:r w:rsidRPr="00DA74BA">
              <w:rPr>
                <w:rFonts w:ascii="Arial" w:hAnsi="Arial" w:cs="Arial"/>
                <w:b/>
                <w:bCs/>
                <w:lang w:val="es-ES" w:bidi="bn-IN"/>
              </w:rPr>
              <w:t>-antes Matriculados en IES</w:t>
            </w:r>
          </w:p>
        </w:tc>
        <w:tc>
          <w:tcPr>
            <w:tcW w:w="567" w:type="dxa"/>
            <w:vMerge w:val="restart"/>
            <w:shd w:val="clear" w:color="auto" w:fill="F2F2F2"/>
            <w:vAlign w:val="center"/>
          </w:tcPr>
          <w:p w:rsidR="00DA74BA" w:rsidRPr="00DA74BA" w:rsidRDefault="00DA74BA" w:rsidP="00A87AF2">
            <w:pPr>
              <w:spacing w:line="360" w:lineRule="auto"/>
              <w:jc w:val="center"/>
              <w:rPr>
                <w:rFonts w:ascii="Arial" w:hAnsi="Arial" w:cs="Arial"/>
                <w:b/>
                <w:bCs/>
                <w:lang w:val="es-ES" w:bidi="bn-IN"/>
              </w:rPr>
            </w:pPr>
            <w:r w:rsidRPr="00DA74BA">
              <w:rPr>
                <w:rFonts w:ascii="Arial" w:hAnsi="Arial" w:cs="Arial"/>
                <w:b/>
                <w:bCs/>
                <w:lang w:val="es-ES" w:bidi="bn-IN"/>
              </w:rPr>
              <w:t>No. de IES</w:t>
            </w:r>
          </w:p>
        </w:tc>
      </w:tr>
      <w:tr w:rsidR="00DA74BA" w:rsidRPr="00DA74BA" w:rsidTr="00A87AF2">
        <w:trPr>
          <w:trHeight w:val="765"/>
        </w:trPr>
        <w:tc>
          <w:tcPr>
            <w:tcW w:w="1604" w:type="dxa"/>
            <w:vMerge/>
            <w:shd w:val="clear" w:color="auto" w:fill="F2F2F2"/>
            <w:vAlign w:val="center"/>
          </w:tcPr>
          <w:p w:rsidR="00DA74BA" w:rsidRPr="00DA74BA" w:rsidRDefault="00DA74BA" w:rsidP="00A87AF2">
            <w:pPr>
              <w:spacing w:line="360" w:lineRule="auto"/>
              <w:rPr>
                <w:rFonts w:ascii="Arial" w:hAnsi="Arial" w:cs="Arial"/>
                <w:b/>
                <w:bCs/>
                <w:lang w:val="es-ES" w:bidi="bn-IN"/>
              </w:rPr>
            </w:pPr>
          </w:p>
        </w:tc>
        <w:tc>
          <w:tcPr>
            <w:tcW w:w="1165" w:type="dxa"/>
            <w:shd w:val="clear" w:color="auto" w:fill="F2F2F2"/>
            <w:vAlign w:val="center"/>
          </w:tcPr>
          <w:p w:rsidR="00DA74BA" w:rsidRPr="00DA74BA" w:rsidRDefault="00DA74BA" w:rsidP="00A87AF2">
            <w:pPr>
              <w:spacing w:line="360" w:lineRule="auto"/>
              <w:jc w:val="center"/>
              <w:rPr>
                <w:rFonts w:ascii="Arial" w:hAnsi="Arial" w:cs="Arial"/>
                <w:b/>
                <w:bCs/>
                <w:lang w:val="es-ES" w:bidi="bn-IN"/>
              </w:rPr>
            </w:pPr>
            <w:r w:rsidRPr="00DA74BA">
              <w:rPr>
                <w:rFonts w:ascii="Arial" w:hAnsi="Arial" w:cs="Arial"/>
                <w:b/>
                <w:bCs/>
                <w:lang w:val="es-ES" w:bidi="bn-IN"/>
              </w:rPr>
              <w:t>Técnica Profesional</w:t>
            </w:r>
          </w:p>
        </w:tc>
        <w:tc>
          <w:tcPr>
            <w:tcW w:w="1276" w:type="dxa"/>
            <w:shd w:val="clear" w:color="auto" w:fill="F2F2F2"/>
            <w:vAlign w:val="center"/>
          </w:tcPr>
          <w:p w:rsidR="00DA74BA" w:rsidRPr="00DA74BA" w:rsidRDefault="00DA74BA" w:rsidP="00A87AF2">
            <w:pPr>
              <w:spacing w:line="360" w:lineRule="auto"/>
              <w:jc w:val="center"/>
              <w:rPr>
                <w:rFonts w:ascii="Arial" w:hAnsi="Arial" w:cs="Arial"/>
                <w:b/>
                <w:bCs/>
                <w:lang w:val="es-ES" w:bidi="bn-IN"/>
              </w:rPr>
            </w:pPr>
            <w:r w:rsidRPr="00DA74BA">
              <w:rPr>
                <w:rFonts w:ascii="Arial" w:hAnsi="Arial" w:cs="Arial"/>
                <w:b/>
                <w:bCs/>
                <w:lang w:val="es-ES" w:bidi="bn-IN"/>
              </w:rPr>
              <w:t>Tecnológica</w:t>
            </w:r>
          </w:p>
        </w:tc>
        <w:tc>
          <w:tcPr>
            <w:tcW w:w="1275" w:type="dxa"/>
            <w:shd w:val="clear" w:color="auto" w:fill="F2F2F2"/>
            <w:vAlign w:val="center"/>
          </w:tcPr>
          <w:p w:rsidR="00DA74BA" w:rsidRPr="00DA74BA" w:rsidRDefault="00DA74BA" w:rsidP="00A87AF2">
            <w:pPr>
              <w:spacing w:line="360" w:lineRule="auto"/>
              <w:jc w:val="center"/>
              <w:rPr>
                <w:rFonts w:ascii="Arial" w:hAnsi="Arial" w:cs="Arial"/>
                <w:b/>
                <w:bCs/>
                <w:lang w:val="es-ES" w:bidi="bn-IN"/>
              </w:rPr>
            </w:pPr>
            <w:r w:rsidRPr="00DA74BA">
              <w:rPr>
                <w:rFonts w:ascii="Arial" w:hAnsi="Arial" w:cs="Arial"/>
                <w:b/>
                <w:bCs/>
                <w:lang w:val="es-ES" w:bidi="bn-IN"/>
              </w:rPr>
              <w:t>Universitaria</w:t>
            </w:r>
          </w:p>
        </w:tc>
        <w:tc>
          <w:tcPr>
            <w:tcW w:w="1560" w:type="dxa"/>
            <w:shd w:val="clear" w:color="auto" w:fill="F2F2F2"/>
            <w:vAlign w:val="center"/>
          </w:tcPr>
          <w:p w:rsidR="00DA74BA" w:rsidRPr="00DA74BA" w:rsidRDefault="00DA74BA" w:rsidP="00A87AF2">
            <w:pPr>
              <w:spacing w:line="360" w:lineRule="auto"/>
              <w:jc w:val="center"/>
              <w:rPr>
                <w:rFonts w:ascii="Arial" w:hAnsi="Arial" w:cs="Arial"/>
                <w:b/>
                <w:bCs/>
                <w:lang w:val="es-ES" w:bidi="bn-IN"/>
              </w:rPr>
            </w:pPr>
            <w:r w:rsidRPr="00DA74BA">
              <w:rPr>
                <w:rFonts w:ascii="Arial" w:hAnsi="Arial" w:cs="Arial"/>
                <w:b/>
                <w:bCs/>
                <w:lang w:val="es-ES" w:bidi="bn-IN"/>
              </w:rPr>
              <w:t>Especialización</w:t>
            </w:r>
          </w:p>
        </w:tc>
        <w:tc>
          <w:tcPr>
            <w:tcW w:w="992" w:type="dxa"/>
            <w:shd w:val="clear" w:color="auto" w:fill="F2F2F2"/>
            <w:vAlign w:val="center"/>
          </w:tcPr>
          <w:p w:rsidR="00DA74BA" w:rsidRPr="00DA74BA" w:rsidRDefault="00DA74BA" w:rsidP="00A87AF2">
            <w:pPr>
              <w:spacing w:line="360" w:lineRule="auto"/>
              <w:jc w:val="center"/>
              <w:rPr>
                <w:rFonts w:ascii="Arial" w:hAnsi="Arial" w:cs="Arial"/>
                <w:b/>
                <w:bCs/>
                <w:lang w:val="es-ES" w:bidi="bn-IN"/>
              </w:rPr>
            </w:pPr>
            <w:r w:rsidRPr="00DA74BA">
              <w:rPr>
                <w:rFonts w:ascii="Arial" w:hAnsi="Arial" w:cs="Arial"/>
                <w:b/>
                <w:bCs/>
                <w:lang w:val="es-ES" w:bidi="bn-IN"/>
              </w:rPr>
              <w:t>Maestría</w:t>
            </w:r>
          </w:p>
        </w:tc>
        <w:tc>
          <w:tcPr>
            <w:tcW w:w="992" w:type="dxa"/>
            <w:vMerge/>
            <w:shd w:val="clear" w:color="auto" w:fill="F2F2F2"/>
            <w:vAlign w:val="center"/>
          </w:tcPr>
          <w:p w:rsidR="00DA74BA" w:rsidRPr="00DA74BA" w:rsidRDefault="00DA74BA" w:rsidP="00A87AF2">
            <w:pPr>
              <w:spacing w:line="360" w:lineRule="auto"/>
              <w:jc w:val="center"/>
              <w:rPr>
                <w:rFonts w:ascii="Arial" w:hAnsi="Arial" w:cs="Arial"/>
                <w:b/>
                <w:bCs/>
                <w:lang w:val="es-ES" w:bidi="bn-IN"/>
              </w:rPr>
            </w:pPr>
          </w:p>
        </w:tc>
        <w:tc>
          <w:tcPr>
            <w:tcW w:w="567" w:type="dxa"/>
            <w:vMerge/>
            <w:shd w:val="clear" w:color="auto" w:fill="F2F2F2"/>
          </w:tcPr>
          <w:p w:rsidR="00DA74BA" w:rsidRPr="00DA74BA" w:rsidRDefault="00DA74BA" w:rsidP="00A87AF2">
            <w:pPr>
              <w:spacing w:line="360" w:lineRule="auto"/>
              <w:jc w:val="center"/>
              <w:rPr>
                <w:rFonts w:ascii="Arial" w:hAnsi="Arial" w:cs="Arial"/>
                <w:b/>
                <w:bCs/>
                <w:lang w:val="es-ES" w:bidi="bn-IN"/>
              </w:rPr>
            </w:pPr>
          </w:p>
        </w:tc>
      </w:tr>
      <w:tr w:rsidR="00DA74BA" w:rsidRPr="00DA74BA" w:rsidTr="00A87AF2">
        <w:trPr>
          <w:trHeight w:val="397"/>
        </w:trPr>
        <w:tc>
          <w:tcPr>
            <w:tcW w:w="1604" w:type="dxa"/>
            <w:shd w:val="clear" w:color="auto" w:fill="EEF4F2"/>
            <w:noWrap/>
            <w:vAlign w:val="center"/>
          </w:tcPr>
          <w:p w:rsidR="00DA74BA" w:rsidRPr="00DA74BA" w:rsidRDefault="00DA74BA" w:rsidP="00A87AF2">
            <w:pPr>
              <w:spacing w:line="360" w:lineRule="auto"/>
              <w:rPr>
                <w:rFonts w:ascii="Arial" w:hAnsi="Arial" w:cs="Arial"/>
                <w:b/>
                <w:bCs/>
                <w:lang w:val="es-ES" w:bidi="bn-IN"/>
              </w:rPr>
            </w:pPr>
            <w:r w:rsidRPr="00DA74BA">
              <w:rPr>
                <w:rFonts w:ascii="Arial" w:hAnsi="Arial" w:cs="Arial"/>
                <w:b/>
                <w:bCs/>
                <w:lang w:val="es-ES" w:bidi="bn-IN"/>
              </w:rPr>
              <w:t>Villavicencio</w:t>
            </w:r>
          </w:p>
        </w:tc>
        <w:tc>
          <w:tcPr>
            <w:tcW w:w="1165" w:type="dxa"/>
            <w:shd w:val="clear" w:color="auto" w:fill="EEF4F2"/>
            <w:noWrap/>
            <w:vAlign w:val="center"/>
          </w:tcPr>
          <w:p w:rsidR="00DA74BA" w:rsidRPr="00DA74BA" w:rsidRDefault="00DA74BA" w:rsidP="00A87AF2">
            <w:pPr>
              <w:spacing w:line="360" w:lineRule="auto"/>
              <w:jc w:val="right"/>
              <w:rPr>
                <w:rFonts w:ascii="Arial" w:hAnsi="Arial" w:cs="Arial"/>
                <w:b/>
                <w:bCs/>
                <w:lang w:val="es-ES" w:bidi="bn-IN"/>
              </w:rPr>
            </w:pPr>
            <w:r w:rsidRPr="00DA74BA">
              <w:rPr>
                <w:rFonts w:ascii="Arial" w:hAnsi="Arial" w:cs="Arial"/>
                <w:b/>
                <w:bCs/>
                <w:lang w:val="es-ES" w:bidi="bn-IN"/>
              </w:rPr>
              <w:t>1101</w:t>
            </w:r>
          </w:p>
        </w:tc>
        <w:tc>
          <w:tcPr>
            <w:tcW w:w="1276" w:type="dxa"/>
            <w:shd w:val="clear" w:color="auto" w:fill="EEF4F2"/>
            <w:noWrap/>
            <w:vAlign w:val="center"/>
          </w:tcPr>
          <w:p w:rsidR="00DA74BA" w:rsidRPr="00DA74BA" w:rsidRDefault="00DA74BA" w:rsidP="00A87AF2">
            <w:pPr>
              <w:spacing w:line="360" w:lineRule="auto"/>
              <w:jc w:val="right"/>
              <w:rPr>
                <w:rFonts w:ascii="Arial" w:hAnsi="Arial" w:cs="Arial"/>
                <w:b/>
                <w:bCs/>
                <w:lang w:val="es-ES" w:bidi="bn-IN"/>
              </w:rPr>
            </w:pPr>
            <w:r w:rsidRPr="00DA74BA">
              <w:rPr>
                <w:rFonts w:ascii="Arial" w:hAnsi="Arial" w:cs="Arial"/>
                <w:b/>
                <w:bCs/>
                <w:lang w:val="es-ES" w:bidi="bn-IN"/>
              </w:rPr>
              <w:t>5046</w:t>
            </w:r>
          </w:p>
        </w:tc>
        <w:tc>
          <w:tcPr>
            <w:tcW w:w="1275" w:type="dxa"/>
            <w:shd w:val="clear" w:color="auto" w:fill="EEF4F2"/>
            <w:noWrap/>
            <w:vAlign w:val="center"/>
          </w:tcPr>
          <w:p w:rsidR="00DA74BA" w:rsidRPr="00DA74BA" w:rsidRDefault="00DA74BA" w:rsidP="00A87AF2">
            <w:pPr>
              <w:spacing w:line="360" w:lineRule="auto"/>
              <w:jc w:val="right"/>
              <w:rPr>
                <w:rFonts w:ascii="Arial" w:hAnsi="Arial" w:cs="Arial"/>
                <w:b/>
                <w:bCs/>
                <w:lang w:val="es-ES" w:bidi="bn-IN"/>
              </w:rPr>
            </w:pPr>
            <w:r w:rsidRPr="00DA74BA">
              <w:rPr>
                <w:rFonts w:ascii="Arial" w:hAnsi="Arial" w:cs="Arial"/>
                <w:b/>
                <w:bCs/>
                <w:lang w:val="es-ES" w:bidi="bn-IN"/>
              </w:rPr>
              <w:t>23271</w:t>
            </w:r>
          </w:p>
        </w:tc>
        <w:tc>
          <w:tcPr>
            <w:tcW w:w="1560" w:type="dxa"/>
            <w:shd w:val="clear" w:color="auto" w:fill="EEF4F2"/>
            <w:noWrap/>
            <w:vAlign w:val="center"/>
          </w:tcPr>
          <w:p w:rsidR="00DA74BA" w:rsidRPr="00DA74BA" w:rsidRDefault="00DA74BA" w:rsidP="00A87AF2">
            <w:pPr>
              <w:spacing w:line="360" w:lineRule="auto"/>
              <w:jc w:val="right"/>
              <w:rPr>
                <w:rFonts w:ascii="Arial" w:hAnsi="Arial" w:cs="Arial"/>
                <w:b/>
                <w:bCs/>
                <w:lang w:val="es-ES" w:bidi="bn-IN"/>
              </w:rPr>
            </w:pPr>
            <w:r w:rsidRPr="00DA74BA">
              <w:rPr>
                <w:rFonts w:ascii="Arial" w:hAnsi="Arial" w:cs="Arial"/>
                <w:b/>
                <w:bCs/>
                <w:lang w:val="es-ES" w:bidi="bn-IN"/>
              </w:rPr>
              <w:t>842</w:t>
            </w:r>
          </w:p>
        </w:tc>
        <w:tc>
          <w:tcPr>
            <w:tcW w:w="992" w:type="dxa"/>
            <w:shd w:val="clear" w:color="auto" w:fill="EEF4F2"/>
            <w:noWrap/>
            <w:vAlign w:val="center"/>
          </w:tcPr>
          <w:p w:rsidR="00DA74BA" w:rsidRPr="00DA74BA" w:rsidRDefault="00DA74BA" w:rsidP="00A87AF2">
            <w:pPr>
              <w:spacing w:line="360" w:lineRule="auto"/>
              <w:jc w:val="right"/>
              <w:rPr>
                <w:rFonts w:ascii="Arial" w:hAnsi="Arial" w:cs="Arial"/>
                <w:b/>
                <w:bCs/>
                <w:lang w:val="es-ES" w:bidi="bn-IN"/>
              </w:rPr>
            </w:pPr>
            <w:r w:rsidRPr="00DA74BA">
              <w:rPr>
                <w:rFonts w:ascii="Arial" w:hAnsi="Arial" w:cs="Arial"/>
                <w:b/>
                <w:bCs/>
                <w:lang w:val="es-ES" w:bidi="bn-IN"/>
              </w:rPr>
              <w:t>156</w:t>
            </w:r>
          </w:p>
        </w:tc>
        <w:tc>
          <w:tcPr>
            <w:tcW w:w="992" w:type="dxa"/>
            <w:shd w:val="clear" w:color="auto" w:fill="EEF4F2"/>
            <w:noWrap/>
            <w:vAlign w:val="center"/>
          </w:tcPr>
          <w:p w:rsidR="00DA74BA" w:rsidRPr="00DA74BA" w:rsidRDefault="00DA74BA" w:rsidP="00A87AF2">
            <w:pPr>
              <w:spacing w:line="360" w:lineRule="auto"/>
              <w:jc w:val="right"/>
              <w:rPr>
                <w:rFonts w:ascii="Arial" w:hAnsi="Arial" w:cs="Arial"/>
                <w:b/>
                <w:bCs/>
                <w:lang w:val="es-ES" w:bidi="bn-IN"/>
              </w:rPr>
            </w:pPr>
            <w:r w:rsidRPr="00DA74BA">
              <w:rPr>
                <w:rFonts w:ascii="Arial" w:hAnsi="Arial" w:cs="Arial"/>
                <w:b/>
                <w:bCs/>
                <w:lang w:val="es-ES" w:bidi="bn-IN"/>
              </w:rPr>
              <w:t>30416</w:t>
            </w:r>
          </w:p>
        </w:tc>
        <w:tc>
          <w:tcPr>
            <w:tcW w:w="567" w:type="dxa"/>
            <w:shd w:val="clear" w:color="auto" w:fill="EEF4F2"/>
            <w:vAlign w:val="center"/>
          </w:tcPr>
          <w:p w:rsidR="00DA74BA" w:rsidRPr="00DA74BA" w:rsidRDefault="00DA74BA" w:rsidP="00A87AF2">
            <w:pPr>
              <w:spacing w:line="360" w:lineRule="auto"/>
              <w:jc w:val="right"/>
              <w:rPr>
                <w:rFonts w:ascii="Arial" w:hAnsi="Arial" w:cs="Arial"/>
                <w:b/>
                <w:bCs/>
                <w:lang w:val="es-ES" w:bidi="bn-IN"/>
              </w:rPr>
            </w:pPr>
            <w:r w:rsidRPr="00DA74BA">
              <w:rPr>
                <w:rFonts w:ascii="Arial" w:hAnsi="Arial" w:cs="Arial"/>
                <w:b/>
                <w:bCs/>
                <w:lang w:val="es-ES" w:bidi="bn-IN"/>
              </w:rPr>
              <w:t>24</w:t>
            </w:r>
          </w:p>
        </w:tc>
      </w:tr>
      <w:tr w:rsidR="00DA74BA" w:rsidRPr="00DA74BA" w:rsidTr="00A87AF2">
        <w:trPr>
          <w:trHeight w:val="397"/>
        </w:trPr>
        <w:tc>
          <w:tcPr>
            <w:tcW w:w="1604" w:type="dxa"/>
            <w:shd w:val="clear" w:color="auto" w:fill="auto"/>
            <w:noWrap/>
            <w:vAlign w:val="center"/>
          </w:tcPr>
          <w:p w:rsidR="00DA74BA" w:rsidRPr="00DA74BA" w:rsidRDefault="00DA74BA" w:rsidP="00A87AF2">
            <w:pPr>
              <w:spacing w:line="360" w:lineRule="auto"/>
              <w:rPr>
                <w:rFonts w:ascii="Arial" w:hAnsi="Arial" w:cs="Arial"/>
                <w:lang w:val="es-ES" w:bidi="bn-IN"/>
              </w:rPr>
            </w:pPr>
            <w:r w:rsidRPr="00DA74BA">
              <w:rPr>
                <w:rFonts w:ascii="Arial" w:hAnsi="Arial" w:cs="Arial"/>
                <w:lang w:val="es-ES" w:bidi="bn-IN"/>
              </w:rPr>
              <w:lastRenderedPageBreak/>
              <w:t>Acacias</w:t>
            </w:r>
          </w:p>
        </w:tc>
        <w:tc>
          <w:tcPr>
            <w:tcW w:w="1165" w:type="dxa"/>
            <w:shd w:val="clear" w:color="auto" w:fill="auto"/>
            <w:noWrap/>
            <w:vAlign w:val="center"/>
          </w:tcPr>
          <w:p w:rsidR="00DA74BA" w:rsidRPr="00DA74BA" w:rsidRDefault="00DA74BA" w:rsidP="00A87AF2">
            <w:pPr>
              <w:spacing w:line="360" w:lineRule="auto"/>
              <w:jc w:val="right"/>
              <w:rPr>
                <w:rFonts w:ascii="Arial" w:hAnsi="Arial" w:cs="Arial"/>
                <w:lang w:val="es-ES" w:bidi="bn-IN"/>
              </w:rPr>
            </w:pPr>
          </w:p>
        </w:tc>
        <w:tc>
          <w:tcPr>
            <w:tcW w:w="1276" w:type="dxa"/>
            <w:shd w:val="clear" w:color="auto" w:fill="auto"/>
            <w:noWrap/>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148</w:t>
            </w:r>
          </w:p>
        </w:tc>
        <w:tc>
          <w:tcPr>
            <w:tcW w:w="1275" w:type="dxa"/>
            <w:shd w:val="clear" w:color="auto" w:fill="auto"/>
            <w:noWrap/>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1993</w:t>
            </w:r>
          </w:p>
        </w:tc>
        <w:tc>
          <w:tcPr>
            <w:tcW w:w="1560" w:type="dxa"/>
            <w:shd w:val="clear" w:color="auto" w:fill="auto"/>
            <w:noWrap/>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102</w:t>
            </w:r>
          </w:p>
        </w:tc>
        <w:tc>
          <w:tcPr>
            <w:tcW w:w="992" w:type="dxa"/>
            <w:shd w:val="clear" w:color="auto" w:fill="auto"/>
            <w:noWrap/>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12</w:t>
            </w:r>
          </w:p>
        </w:tc>
        <w:tc>
          <w:tcPr>
            <w:tcW w:w="992" w:type="dxa"/>
            <w:shd w:val="clear" w:color="auto" w:fill="auto"/>
            <w:noWrap/>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2255</w:t>
            </w:r>
          </w:p>
        </w:tc>
        <w:tc>
          <w:tcPr>
            <w:tcW w:w="567" w:type="dxa"/>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2</w:t>
            </w:r>
          </w:p>
        </w:tc>
      </w:tr>
      <w:tr w:rsidR="00DA74BA" w:rsidRPr="00DA74BA" w:rsidTr="00A87AF2">
        <w:trPr>
          <w:trHeight w:val="397"/>
        </w:trPr>
        <w:tc>
          <w:tcPr>
            <w:tcW w:w="1604" w:type="dxa"/>
            <w:shd w:val="clear" w:color="auto" w:fill="auto"/>
            <w:noWrap/>
            <w:vAlign w:val="center"/>
          </w:tcPr>
          <w:p w:rsidR="00DA74BA" w:rsidRPr="00DA74BA" w:rsidRDefault="00DA74BA" w:rsidP="00A87AF2">
            <w:pPr>
              <w:spacing w:line="360" w:lineRule="auto"/>
              <w:rPr>
                <w:rFonts w:ascii="Arial" w:hAnsi="Arial" w:cs="Arial"/>
                <w:lang w:val="es-ES" w:bidi="bn-IN"/>
              </w:rPr>
            </w:pPr>
            <w:r w:rsidRPr="00DA74BA">
              <w:rPr>
                <w:rFonts w:ascii="Arial" w:hAnsi="Arial" w:cs="Arial"/>
                <w:lang w:val="es-ES" w:bidi="bn-IN"/>
              </w:rPr>
              <w:t xml:space="preserve">Castilla </w:t>
            </w:r>
            <w:r w:rsidRPr="00DA74BA">
              <w:rPr>
                <w:rFonts w:ascii="Arial" w:hAnsi="Arial" w:cs="Arial"/>
                <w:lang w:val="es-ES" w:bidi="bn-IN"/>
              </w:rPr>
              <w:br/>
              <w:t>La Nueva</w:t>
            </w:r>
          </w:p>
        </w:tc>
        <w:tc>
          <w:tcPr>
            <w:tcW w:w="1165" w:type="dxa"/>
            <w:shd w:val="clear" w:color="auto" w:fill="auto"/>
            <w:noWrap/>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3</w:t>
            </w:r>
          </w:p>
        </w:tc>
        <w:tc>
          <w:tcPr>
            <w:tcW w:w="1276" w:type="dxa"/>
            <w:shd w:val="clear" w:color="auto" w:fill="auto"/>
            <w:noWrap/>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22</w:t>
            </w:r>
          </w:p>
        </w:tc>
        <w:tc>
          <w:tcPr>
            <w:tcW w:w="1275" w:type="dxa"/>
            <w:shd w:val="clear" w:color="auto" w:fill="auto"/>
            <w:noWrap/>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7</w:t>
            </w:r>
          </w:p>
        </w:tc>
        <w:tc>
          <w:tcPr>
            <w:tcW w:w="1560" w:type="dxa"/>
            <w:shd w:val="clear" w:color="auto" w:fill="auto"/>
            <w:noWrap/>
            <w:vAlign w:val="center"/>
          </w:tcPr>
          <w:p w:rsidR="00DA74BA" w:rsidRPr="00DA74BA" w:rsidRDefault="00DA74BA" w:rsidP="00A87AF2">
            <w:pPr>
              <w:spacing w:line="360" w:lineRule="auto"/>
              <w:jc w:val="right"/>
              <w:rPr>
                <w:rFonts w:ascii="Arial" w:hAnsi="Arial" w:cs="Arial"/>
                <w:lang w:val="es-ES" w:bidi="bn-IN"/>
              </w:rPr>
            </w:pPr>
          </w:p>
        </w:tc>
        <w:tc>
          <w:tcPr>
            <w:tcW w:w="992" w:type="dxa"/>
            <w:shd w:val="clear" w:color="auto" w:fill="auto"/>
            <w:noWrap/>
            <w:vAlign w:val="center"/>
          </w:tcPr>
          <w:p w:rsidR="00DA74BA" w:rsidRPr="00DA74BA" w:rsidRDefault="00DA74BA" w:rsidP="00A87AF2">
            <w:pPr>
              <w:spacing w:line="360" w:lineRule="auto"/>
              <w:jc w:val="right"/>
              <w:rPr>
                <w:rFonts w:ascii="Arial" w:hAnsi="Arial" w:cs="Arial"/>
                <w:lang w:val="es-ES" w:bidi="bn-IN"/>
              </w:rPr>
            </w:pPr>
          </w:p>
        </w:tc>
        <w:tc>
          <w:tcPr>
            <w:tcW w:w="992" w:type="dxa"/>
            <w:shd w:val="clear" w:color="auto" w:fill="auto"/>
            <w:noWrap/>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32</w:t>
            </w:r>
          </w:p>
        </w:tc>
        <w:tc>
          <w:tcPr>
            <w:tcW w:w="567" w:type="dxa"/>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1</w:t>
            </w:r>
          </w:p>
        </w:tc>
      </w:tr>
      <w:tr w:rsidR="00DA74BA" w:rsidRPr="00DA74BA" w:rsidTr="00A87AF2">
        <w:trPr>
          <w:trHeight w:val="397"/>
        </w:trPr>
        <w:tc>
          <w:tcPr>
            <w:tcW w:w="16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rPr>
                <w:rFonts w:ascii="Arial" w:hAnsi="Arial" w:cs="Arial"/>
                <w:lang w:val="es-ES" w:bidi="bn-IN"/>
              </w:rPr>
            </w:pPr>
            <w:proofErr w:type="spellStart"/>
            <w:r w:rsidRPr="00DA74BA">
              <w:rPr>
                <w:rFonts w:ascii="Arial" w:hAnsi="Arial" w:cs="Arial"/>
                <w:lang w:val="es-ES" w:bidi="bn-IN"/>
              </w:rPr>
              <w:t>Cumaral</w:t>
            </w:r>
            <w:proofErr w:type="spellEnd"/>
          </w:p>
        </w:tc>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jc w:val="right"/>
              <w:rPr>
                <w:rFonts w:ascii="Arial" w:hAnsi="Arial" w:cs="Arial"/>
                <w:lang w:val="es-ES" w:bidi="bn-IN"/>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16</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206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227</w:t>
            </w:r>
          </w:p>
        </w:tc>
        <w:tc>
          <w:tcPr>
            <w:tcW w:w="567" w:type="dxa"/>
            <w:tcBorders>
              <w:top w:val="single" w:sz="4" w:space="0" w:color="auto"/>
              <w:left w:val="single" w:sz="4" w:space="0" w:color="auto"/>
              <w:bottom w:val="single" w:sz="4" w:space="0" w:color="auto"/>
              <w:right w:val="single" w:sz="4" w:space="0" w:color="auto"/>
            </w:tcBorders>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2</w:t>
            </w:r>
          </w:p>
        </w:tc>
      </w:tr>
      <w:tr w:rsidR="00DA74BA" w:rsidRPr="00DA74BA" w:rsidTr="00A87AF2">
        <w:trPr>
          <w:trHeight w:val="397"/>
        </w:trPr>
        <w:tc>
          <w:tcPr>
            <w:tcW w:w="16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rPr>
                <w:rFonts w:ascii="Arial" w:hAnsi="Arial" w:cs="Arial"/>
                <w:lang w:val="es-ES" w:bidi="bn-IN"/>
              </w:rPr>
            </w:pPr>
            <w:r w:rsidRPr="00DA74BA">
              <w:rPr>
                <w:rFonts w:ascii="Arial" w:hAnsi="Arial" w:cs="Arial"/>
                <w:lang w:val="es-ES" w:bidi="bn-IN"/>
              </w:rPr>
              <w:t>Granada</w:t>
            </w:r>
          </w:p>
        </w:tc>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15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704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55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jc w:val="right"/>
              <w:rPr>
                <w:rFonts w:ascii="Arial" w:hAnsi="Arial" w:cs="Arial"/>
                <w:lang w:val="es-ES" w:bidi="bn-IN"/>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jc w:val="right"/>
              <w:rPr>
                <w:rFonts w:ascii="Arial" w:hAnsi="Arial" w:cs="Arial"/>
                <w:lang w:val="es-ES" w:bidi="bn-IN"/>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774</w:t>
            </w:r>
          </w:p>
        </w:tc>
        <w:tc>
          <w:tcPr>
            <w:tcW w:w="567" w:type="dxa"/>
            <w:tcBorders>
              <w:top w:val="single" w:sz="4" w:space="0" w:color="auto"/>
              <w:left w:val="single" w:sz="4" w:space="0" w:color="auto"/>
              <w:bottom w:val="single" w:sz="4" w:space="0" w:color="auto"/>
              <w:right w:val="single" w:sz="4" w:space="0" w:color="auto"/>
            </w:tcBorders>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4</w:t>
            </w:r>
          </w:p>
        </w:tc>
      </w:tr>
      <w:tr w:rsidR="00DA74BA" w:rsidRPr="00DA74BA" w:rsidTr="00A87AF2">
        <w:trPr>
          <w:trHeight w:val="397"/>
        </w:trPr>
        <w:tc>
          <w:tcPr>
            <w:tcW w:w="16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rPr>
                <w:rFonts w:ascii="Arial" w:hAnsi="Arial" w:cs="Arial"/>
                <w:lang w:val="es-ES" w:bidi="bn-IN"/>
              </w:rPr>
            </w:pPr>
            <w:r w:rsidRPr="00DA74BA">
              <w:rPr>
                <w:rFonts w:ascii="Arial" w:hAnsi="Arial" w:cs="Arial"/>
                <w:lang w:val="es-ES" w:bidi="bn-IN"/>
              </w:rPr>
              <w:t>La Macarena</w:t>
            </w:r>
          </w:p>
        </w:tc>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jc w:val="right"/>
              <w:rPr>
                <w:rFonts w:ascii="Arial" w:hAnsi="Arial" w:cs="Arial"/>
                <w:lang w:val="es-ES" w:bidi="bn-IN"/>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jc w:val="right"/>
              <w:rPr>
                <w:rFonts w:ascii="Arial" w:hAnsi="Arial" w:cs="Arial"/>
                <w:lang w:val="es-ES" w:bidi="bn-IN"/>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jc w:val="right"/>
              <w:rPr>
                <w:rFonts w:ascii="Arial" w:hAnsi="Arial" w:cs="Arial"/>
                <w:lang w:val="es-ES" w:bidi="bn-IN"/>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jc w:val="right"/>
              <w:rPr>
                <w:rFonts w:ascii="Arial" w:hAnsi="Arial" w:cs="Arial"/>
                <w:lang w:val="es-ES" w:bidi="bn-IN"/>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1</w:t>
            </w:r>
          </w:p>
        </w:tc>
        <w:tc>
          <w:tcPr>
            <w:tcW w:w="567" w:type="dxa"/>
            <w:tcBorders>
              <w:top w:val="single" w:sz="4" w:space="0" w:color="auto"/>
              <w:left w:val="single" w:sz="4" w:space="0" w:color="auto"/>
              <w:bottom w:val="single" w:sz="4" w:space="0" w:color="auto"/>
              <w:right w:val="single" w:sz="4" w:space="0" w:color="auto"/>
            </w:tcBorders>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1</w:t>
            </w:r>
          </w:p>
        </w:tc>
      </w:tr>
      <w:tr w:rsidR="00DA74BA" w:rsidRPr="00DA74BA" w:rsidTr="00A87AF2">
        <w:trPr>
          <w:trHeight w:val="397"/>
        </w:trPr>
        <w:tc>
          <w:tcPr>
            <w:tcW w:w="16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rPr>
                <w:rFonts w:ascii="Arial" w:hAnsi="Arial" w:cs="Arial"/>
                <w:lang w:val="es-ES" w:bidi="bn-IN"/>
              </w:rPr>
            </w:pPr>
            <w:r w:rsidRPr="00DA74BA">
              <w:rPr>
                <w:rFonts w:ascii="Arial" w:hAnsi="Arial" w:cs="Arial"/>
                <w:lang w:val="es-ES" w:bidi="bn-IN"/>
              </w:rPr>
              <w:t>San Juan de Arama</w:t>
            </w:r>
          </w:p>
        </w:tc>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11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2</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jc w:val="right"/>
              <w:rPr>
                <w:rFonts w:ascii="Arial" w:hAnsi="Arial" w:cs="Arial"/>
                <w:lang w:val="es-ES" w:bidi="bn-IN"/>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jc w:val="right"/>
              <w:rPr>
                <w:rFonts w:ascii="Arial" w:hAnsi="Arial" w:cs="Arial"/>
                <w:lang w:val="es-ES" w:bidi="bn-IN"/>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16</w:t>
            </w:r>
          </w:p>
        </w:tc>
        <w:tc>
          <w:tcPr>
            <w:tcW w:w="567" w:type="dxa"/>
            <w:tcBorders>
              <w:top w:val="single" w:sz="4" w:space="0" w:color="auto"/>
              <w:left w:val="single" w:sz="4" w:space="0" w:color="auto"/>
              <w:bottom w:val="single" w:sz="4" w:space="0" w:color="auto"/>
              <w:right w:val="single" w:sz="4" w:space="0" w:color="auto"/>
            </w:tcBorders>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1</w:t>
            </w:r>
          </w:p>
        </w:tc>
      </w:tr>
      <w:tr w:rsidR="00DA74BA" w:rsidRPr="00DA74BA" w:rsidTr="00A87AF2">
        <w:trPr>
          <w:trHeight w:val="397"/>
        </w:trPr>
        <w:tc>
          <w:tcPr>
            <w:tcW w:w="1604"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rPr>
                <w:rFonts w:ascii="Arial" w:hAnsi="Arial" w:cs="Arial"/>
                <w:lang w:val="es-ES" w:bidi="bn-IN"/>
              </w:rPr>
            </w:pPr>
            <w:r w:rsidRPr="00DA74BA">
              <w:rPr>
                <w:rFonts w:ascii="Arial" w:hAnsi="Arial" w:cs="Arial"/>
                <w:lang w:val="es-ES" w:bidi="bn-IN"/>
              </w:rPr>
              <w:t>San Martin</w:t>
            </w:r>
          </w:p>
        </w:tc>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jc w:val="right"/>
              <w:rPr>
                <w:rFonts w:ascii="Arial" w:hAnsi="Arial" w:cs="Arial"/>
                <w:lang w:val="es-ES" w:bidi="bn-IN"/>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jc w:val="right"/>
              <w:rPr>
                <w:rFonts w:ascii="Arial" w:hAnsi="Arial" w:cs="Arial"/>
                <w:lang w:val="es-ES" w:bidi="bn-IN"/>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43</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jc w:val="right"/>
              <w:rPr>
                <w:rFonts w:ascii="Arial" w:hAnsi="Arial" w:cs="Arial"/>
                <w:lang w:val="es-ES" w:bidi="bn-IN"/>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44</w:t>
            </w:r>
          </w:p>
        </w:tc>
        <w:tc>
          <w:tcPr>
            <w:tcW w:w="567" w:type="dxa"/>
            <w:tcBorders>
              <w:top w:val="single" w:sz="4" w:space="0" w:color="auto"/>
              <w:left w:val="single" w:sz="4" w:space="0" w:color="auto"/>
              <w:bottom w:val="single" w:sz="4" w:space="0" w:color="auto"/>
              <w:right w:val="single" w:sz="4" w:space="0" w:color="auto"/>
            </w:tcBorders>
            <w:vAlign w:val="center"/>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2</w:t>
            </w:r>
          </w:p>
        </w:tc>
      </w:tr>
      <w:tr w:rsidR="00DA74BA" w:rsidRPr="00DA74BA" w:rsidTr="00A87AF2">
        <w:trPr>
          <w:trHeight w:val="397"/>
        </w:trPr>
        <w:tc>
          <w:tcPr>
            <w:tcW w:w="1604"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DA74BA" w:rsidRPr="00DA74BA" w:rsidRDefault="00DA74BA" w:rsidP="00A87AF2">
            <w:pPr>
              <w:spacing w:line="360" w:lineRule="auto"/>
              <w:rPr>
                <w:rFonts w:ascii="Arial" w:hAnsi="Arial" w:cs="Arial"/>
                <w:b/>
                <w:bCs/>
                <w:lang w:val="es-ES" w:bidi="bn-IN"/>
              </w:rPr>
            </w:pPr>
            <w:r w:rsidRPr="00DA74BA">
              <w:rPr>
                <w:rFonts w:ascii="Arial" w:hAnsi="Arial" w:cs="Arial"/>
                <w:b/>
                <w:bCs/>
                <w:lang w:val="es-ES" w:bidi="bn-IN"/>
              </w:rPr>
              <w:t>Total</w:t>
            </w:r>
          </w:p>
        </w:tc>
        <w:tc>
          <w:tcPr>
            <w:tcW w:w="116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DA74BA" w:rsidRPr="00DA74BA" w:rsidRDefault="00DA74BA" w:rsidP="00A87AF2">
            <w:pPr>
              <w:spacing w:line="360" w:lineRule="auto"/>
              <w:jc w:val="right"/>
              <w:rPr>
                <w:rFonts w:ascii="Arial" w:hAnsi="Arial" w:cs="Arial"/>
                <w:b/>
                <w:bCs/>
                <w:lang w:val="es-ES" w:bidi="bn-IN"/>
              </w:rPr>
            </w:pPr>
            <w:r w:rsidRPr="00DA74BA">
              <w:rPr>
                <w:rFonts w:ascii="Arial" w:hAnsi="Arial" w:cs="Arial"/>
                <w:b/>
                <w:bCs/>
                <w:lang w:val="es-ES" w:bidi="bn-IN"/>
              </w:rPr>
              <w:t>1123</w:t>
            </w:r>
          </w:p>
        </w:tc>
        <w:tc>
          <w:tcPr>
            <w:tcW w:w="1276"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DA74BA" w:rsidRPr="00DA74BA" w:rsidRDefault="00DA74BA" w:rsidP="00A87AF2">
            <w:pPr>
              <w:spacing w:line="360" w:lineRule="auto"/>
              <w:jc w:val="right"/>
              <w:rPr>
                <w:rFonts w:ascii="Arial" w:hAnsi="Arial" w:cs="Arial"/>
                <w:b/>
                <w:bCs/>
                <w:lang w:val="es-ES" w:bidi="bn-IN"/>
              </w:rPr>
            </w:pPr>
            <w:r w:rsidRPr="00DA74BA">
              <w:rPr>
                <w:rFonts w:ascii="Arial" w:hAnsi="Arial" w:cs="Arial"/>
                <w:b/>
                <w:bCs/>
                <w:lang w:val="es-ES" w:bidi="bn-IN"/>
              </w:rPr>
              <w:t>5947</w:t>
            </w:r>
          </w:p>
        </w:tc>
        <w:tc>
          <w:tcPr>
            <w:tcW w:w="127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DA74BA" w:rsidRPr="00DA74BA" w:rsidRDefault="00DA74BA" w:rsidP="00A87AF2">
            <w:pPr>
              <w:spacing w:line="360" w:lineRule="auto"/>
              <w:jc w:val="right"/>
              <w:rPr>
                <w:rFonts w:ascii="Arial" w:hAnsi="Arial" w:cs="Arial"/>
                <w:b/>
                <w:bCs/>
                <w:lang w:val="es-ES" w:bidi="bn-IN"/>
              </w:rPr>
            </w:pPr>
            <w:r w:rsidRPr="00DA74BA">
              <w:rPr>
                <w:rFonts w:ascii="Arial" w:hAnsi="Arial" w:cs="Arial"/>
                <w:b/>
                <w:bCs/>
                <w:lang w:val="es-ES" w:bidi="bn-IN"/>
              </w:rPr>
              <w:t>25577</w:t>
            </w:r>
          </w:p>
        </w:tc>
        <w:tc>
          <w:tcPr>
            <w:tcW w:w="1560"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DA74BA" w:rsidRPr="00DA74BA" w:rsidRDefault="00DA74BA" w:rsidP="00A87AF2">
            <w:pPr>
              <w:spacing w:line="360" w:lineRule="auto"/>
              <w:jc w:val="right"/>
              <w:rPr>
                <w:rFonts w:ascii="Arial" w:hAnsi="Arial" w:cs="Arial"/>
                <w:b/>
                <w:bCs/>
                <w:lang w:val="es-ES" w:bidi="bn-IN"/>
              </w:rPr>
            </w:pPr>
            <w:r w:rsidRPr="00DA74BA">
              <w:rPr>
                <w:rFonts w:ascii="Arial" w:hAnsi="Arial" w:cs="Arial"/>
                <w:b/>
                <w:bCs/>
                <w:lang w:val="es-ES" w:bidi="bn-IN"/>
              </w:rPr>
              <w:t>947</w:t>
            </w:r>
          </w:p>
        </w:tc>
        <w:tc>
          <w:tcPr>
            <w:tcW w:w="992"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DA74BA" w:rsidRPr="00DA74BA" w:rsidRDefault="00DA74BA" w:rsidP="00A87AF2">
            <w:pPr>
              <w:spacing w:line="360" w:lineRule="auto"/>
              <w:jc w:val="right"/>
              <w:rPr>
                <w:rFonts w:ascii="Arial" w:hAnsi="Arial" w:cs="Arial"/>
                <w:b/>
                <w:bCs/>
                <w:lang w:val="es-ES" w:bidi="bn-IN"/>
              </w:rPr>
            </w:pPr>
            <w:r w:rsidRPr="00DA74BA">
              <w:rPr>
                <w:rFonts w:ascii="Arial" w:hAnsi="Arial" w:cs="Arial"/>
                <w:b/>
                <w:bCs/>
                <w:lang w:val="es-ES" w:bidi="bn-IN"/>
              </w:rPr>
              <w:t>171</w:t>
            </w:r>
          </w:p>
        </w:tc>
        <w:tc>
          <w:tcPr>
            <w:tcW w:w="992"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DA74BA" w:rsidRPr="00DA74BA" w:rsidRDefault="00DA74BA" w:rsidP="00A87AF2">
            <w:pPr>
              <w:spacing w:line="360" w:lineRule="auto"/>
              <w:jc w:val="right"/>
              <w:rPr>
                <w:rFonts w:ascii="Arial" w:hAnsi="Arial" w:cs="Arial"/>
                <w:b/>
                <w:bCs/>
                <w:lang w:val="es-ES" w:bidi="bn-IN"/>
              </w:rPr>
            </w:pPr>
            <w:r w:rsidRPr="00DA74BA">
              <w:rPr>
                <w:rFonts w:ascii="Arial" w:hAnsi="Arial" w:cs="Arial"/>
                <w:b/>
                <w:bCs/>
                <w:lang w:val="es-ES" w:bidi="bn-IN"/>
              </w:rPr>
              <w:t>33765</w:t>
            </w:r>
          </w:p>
        </w:tc>
        <w:tc>
          <w:tcPr>
            <w:tcW w:w="567" w:type="dxa"/>
            <w:tcBorders>
              <w:top w:val="single" w:sz="4" w:space="0" w:color="auto"/>
              <w:left w:val="single" w:sz="4" w:space="0" w:color="auto"/>
              <w:bottom w:val="single" w:sz="4" w:space="0" w:color="auto"/>
              <w:right w:val="single" w:sz="4" w:space="0" w:color="auto"/>
            </w:tcBorders>
            <w:shd w:val="clear" w:color="auto" w:fill="F2F2F2"/>
            <w:vAlign w:val="center"/>
          </w:tcPr>
          <w:p w:rsidR="00DA74BA" w:rsidRPr="00DA74BA" w:rsidRDefault="00DA74BA" w:rsidP="00A87AF2">
            <w:pPr>
              <w:spacing w:line="360" w:lineRule="auto"/>
              <w:jc w:val="right"/>
              <w:rPr>
                <w:rFonts w:ascii="Arial" w:hAnsi="Arial" w:cs="Arial"/>
                <w:b/>
                <w:bCs/>
                <w:lang w:val="es-ES" w:bidi="bn-IN"/>
              </w:rPr>
            </w:pPr>
            <w:r w:rsidRPr="00DA74BA">
              <w:rPr>
                <w:rFonts w:ascii="Arial" w:hAnsi="Arial" w:cs="Arial"/>
                <w:b/>
                <w:bCs/>
                <w:lang w:val="es-ES" w:bidi="bn-IN"/>
              </w:rPr>
              <w:t>37</w:t>
            </w:r>
          </w:p>
        </w:tc>
      </w:tr>
    </w:tbl>
    <w:p w:rsidR="00DA74BA" w:rsidRPr="00DA74BA" w:rsidRDefault="00DA74BA" w:rsidP="00DA74BA">
      <w:pPr>
        <w:spacing w:line="360" w:lineRule="auto"/>
        <w:jc w:val="both"/>
        <w:rPr>
          <w:rFonts w:ascii="Arial" w:hAnsi="Arial" w:cs="Arial"/>
          <w:lang w:val="es-ES"/>
        </w:rPr>
      </w:pPr>
    </w:p>
    <w:p w:rsidR="00DA74BA" w:rsidRPr="00DA74BA" w:rsidRDefault="00DA74BA" w:rsidP="00DA74BA">
      <w:pPr>
        <w:spacing w:line="360" w:lineRule="auto"/>
        <w:jc w:val="both"/>
        <w:rPr>
          <w:rFonts w:ascii="Arial" w:hAnsi="Arial" w:cs="Arial"/>
          <w:lang w:val="es-ES"/>
        </w:rPr>
      </w:pPr>
      <w:r w:rsidRPr="00DA74BA">
        <w:rPr>
          <w:rFonts w:ascii="Arial" w:hAnsi="Arial" w:cs="Arial"/>
          <w:lang w:val="es-ES"/>
        </w:rPr>
        <w:t xml:space="preserve">Entre las principales instituciones de educación superior que actualmente ofrecen sus servicios en la ciudad de Villavicencio se encuentra la </w:t>
      </w:r>
      <w:hyperlink r:id="rId9" w:tgtFrame="_blank" w:tooltip="Universidad de los Llanos" w:history="1">
        <w:r w:rsidRPr="00DA74BA">
          <w:rPr>
            <w:rFonts w:ascii="Arial" w:hAnsi="Arial" w:cs="Arial"/>
            <w:lang w:val="es-ES" w:bidi="bn-IN"/>
          </w:rPr>
          <w:t>Universidad de los Llanos</w:t>
        </w:r>
      </w:hyperlink>
      <w:r w:rsidRPr="00DA74BA">
        <w:rPr>
          <w:rFonts w:ascii="Arial" w:hAnsi="Arial" w:cs="Arial"/>
          <w:lang w:val="es-ES" w:bidi="bn-IN"/>
        </w:rPr>
        <w:t>: Institución de Educación Superior Pública de orden nacional, la primera universidad de la ciudad y de la región, cuenta tres sedes actualmente activas y una más que entrará en funcionamiento y que ya cuenta con autorización del Ministerio de Educación en el Municipio de Granada.</w:t>
      </w:r>
    </w:p>
    <w:p w:rsidR="00DA74BA" w:rsidRPr="00DA74BA" w:rsidRDefault="00DA74BA" w:rsidP="00DA74BA">
      <w:pPr>
        <w:spacing w:line="360" w:lineRule="auto"/>
        <w:jc w:val="both"/>
        <w:rPr>
          <w:rFonts w:ascii="Arial" w:hAnsi="Arial" w:cs="Arial"/>
          <w:lang w:val="es-ES"/>
        </w:rPr>
      </w:pPr>
      <w:r w:rsidRPr="00DA74BA">
        <w:rPr>
          <w:rFonts w:ascii="Arial" w:hAnsi="Arial" w:cs="Arial"/>
          <w:lang w:val="es-ES"/>
        </w:rPr>
        <w:t>Si bien Villavicencio ha tenido un crecimiento notable en el número de estudiantes en programas de formación técnica profesional, maestría y formación tecnológica, debe notarse que el número de estudiantes matriculados entre 2012 y 2016, en programas de especialización, estuvo por debajo del número alcanzado en 2011. Esta situación preocupa dado el hecho que este tipo de formación contribuye significativamente en la mejora de la calidad y profundización de los conocimientos de los profesionales que laboran en la región y, consecuentemente, en la calidad de los servicios que prestan, por lo que se puede afirmar que impactan de manera directa en la productividad y competitividad de la ciudad y la región.</w:t>
      </w:r>
    </w:p>
    <w:p w:rsidR="00DA74BA" w:rsidRPr="00DA74BA" w:rsidRDefault="00DA74BA" w:rsidP="00DA74BA">
      <w:pPr>
        <w:spacing w:line="360" w:lineRule="auto"/>
        <w:jc w:val="both"/>
        <w:rPr>
          <w:rFonts w:ascii="Arial" w:hAnsi="Arial" w:cs="Arial"/>
          <w:lang w:val="es-ES"/>
        </w:rPr>
      </w:pPr>
    </w:p>
    <w:p w:rsidR="00DA74BA" w:rsidRPr="00DA74BA" w:rsidRDefault="00DA74BA" w:rsidP="00DA74BA">
      <w:pPr>
        <w:spacing w:line="360" w:lineRule="auto"/>
        <w:jc w:val="both"/>
        <w:rPr>
          <w:rFonts w:ascii="Arial" w:hAnsi="Arial" w:cs="Arial"/>
          <w:lang w:val="es-ES"/>
        </w:rPr>
      </w:pPr>
    </w:p>
    <w:p w:rsidR="00DA74BA" w:rsidRPr="00DA74BA" w:rsidRDefault="00DA74BA" w:rsidP="00DA74BA">
      <w:pPr>
        <w:spacing w:line="360" w:lineRule="auto"/>
        <w:jc w:val="both"/>
        <w:rPr>
          <w:rFonts w:ascii="Arial" w:hAnsi="Arial" w:cs="Arial"/>
          <w:lang w:val="es-ES"/>
        </w:rPr>
      </w:pPr>
    </w:p>
    <w:tbl>
      <w:tblPr>
        <w:tblW w:w="88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59"/>
        <w:gridCol w:w="1205"/>
        <w:gridCol w:w="1281"/>
        <w:gridCol w:w="1324"/>
        <w:gridCol w:w="1596"/>
        <w:gridCol w:w="1023"/>
        <w:gridCol w:w="1345"/>
      </w:tblGrid>
      <w:tr w:rsidR="00DA74BA" w:rsidRPr="00DA74BA" w:rsidTr="00A87AF2">
        <w:trPr>
          <w:trHeight w:val="900"/>
        </w:trPr>
        <w:tc>
          <w:tcPr>
            <w:tcW w:w="8801" w:type="dxa"/>
            <w:gridSpan w:val="7"/>
            <w:shd w:val="clear" w:color="auto" w:fill="F2F2F2"/>
            <w:vAlign w:val="center"/>
          </w:tcPr>
          <w:p w:rsidR="00DA74BA" w:rsidRPr="00DA74BA" w:rsidRDefault="00DA74BA" w:rsidP="00A87AF2">
            <w:pPr>
              <w:spacing w:line="360" w:lineRule="auto"/>
              <w:jc w:val="center"/>
              <w:rPr>
                <w:rFonts w:ascii="Arial" w:hAnsi="Arial" w:cs="Arial"/>
                <w:b/>
                <w:bCs/>
                <w:lang w:val="es-ES" w:bidi="bn-IN"/>
              </w:rPr>
            </w:pPr>
            <w:r w:rsidRPr="00DA74BA">
              <w:rPr>
                <w:rFonts w:ascii="Arial" w:hAnsi="Arial" w:cs="Arial"/>
                <w:b/>
                <w:bCs/>
                <w:lang w:val="es-ES" w:bidi="bn-IN"/>
              </w:rPr>
              <w:t>Estudiantes de Educación Superior matriculados en la ciudad de Villavicencio por tipo de formación</w:t>
            </w:r>
            <w:r w:rsidRPr="00DA74BA">
              <w:rPr>
                <w:rStyle w:val="Refdenotaalpie"/>
                <w:rFonts w:ascii="Arial" w:hAnsi="Arial" w:cs="Arial"/>
                <w:b/>
                <w:bCs/>
                <w:lang w:val="es-ES" w:bidi="bn-IN"/>
              </w:rPr>
              <w:footnoteReference w:id="4"/>
            </w:r>
          </w:p>
        </w:tc>
      </w:tr>
      <w:tr w:rsidR="00DA74BA" w:rsidRPr="00DA74BA" w:rsidTr="00A87AF2">
        <w:trPr>
          <w:trHeight w:val="613"/>
        </w:trPr>
        <w:tc>
          <w:tcPr>
            <w:tcW w:w="1174" w:type="dxa"/>
            <w:vMerge w:val="restart"/>
            <w:shd w:val="clear" w:color="auto" w:fill="F2F2F2"/>
            <w:vAlign w:val="center"/>
            <w:hideMark/>
          </w:tcPr>
          <w:p w:rsidR="00DA74BA" w:rsidRPr="00DA74BA" w:rsidRDefault="00DA74BA" w:rsidP="00A87AF2">
            <w:pPr>
              <w:spacing w:line="360" w:lineRule="auto"/>
              <w:jc w:val="center"/>
              <w:rPr>
                <w:rFonts w:ascii="Arial" w:hAnsi="Arial" w:cs="Arial"/>
                <w:b/>
                <w:bCs/>
                <w:lang w:val="es-ES" w:bidi="bn-IN"/>
              </w:rPr>
            </w:pPr>
            <w:r w:rsidRPr="00DA74BA">
              <w:rPr>
                <w:rFonts w:ascii="Arial" w:hAnsi="Arial" w:cs="Arial"/>
                <w:b/>
                <w:bCs/>
                <w:lang w:val="es-ES" w:bidi="bn-IN"/>
              </w:rPr>
              <w:t>Año</w:t>
            </w:r>
          </w:p>
        </w:tc>
        <w:tc>
          <w:tcPr>
            <w:tcW w:w="3646" w:type="dxa"/>
            <w:gridSpan w:val="3"/>
            <w:shd w:val="clear" w:color="auto" w:fill="F2F2F2"/>
            <w:vAlign w:val="center"/>
          </w:tcPr>
          <w:p w:rsidR="00DA74BA" w:rsidRPr="00DA74BA" w:rsidRDefault="00DA74BA" w:rsidP="00A87AF2">
            <w:pPr>
              <w:spacing w:line="360" w:lineRule="auto"/>
              <w:jc w:val="center"/>
              <w:rPr>
                <w:rFonts w:ascii="Arial" w:hAnsi="Arial" w:cs="Arial"/>
                <w:b/>
                <w:bCs/>
                <w:lang w:val="es-ES" w:bidi="bn-IN"/>
              </w:rPr>
            </w:pPr>
            <w:r w:rsidRPr="00DA74BA">
              <w:rPr>
                <w:rFonts w:ascii="Arial" w:hAnsi="Arial" w:cs="Arial"/>
                <w:b/>
                <w:bCs/>
                <w:lang w:val="es-ES" w:bidi="bn-IN"/>
              </w:rPr>
              <w:t>Pregrado</w:t>
            </w:r>
          </w:p>
        </w:tc>
        <w:tc>
          <w:tcPr>
            <w:tcW w:w="2551" w:type="dxa"/>
            <w:gridSpan w:val="2"/>
            <w:shd w:val="clear" w:color="auto" w:fill="F2F2F2"/>
            <w:vAlign w:val="center"/>
          </w:tcPr>
          <w:p w:rsidR="00DA74BA" w:rsidRPr="00DA74BA" w:rsidRDefault="00DA74BA" w:rsidP="00A87AF2">
            <w:pPr>
              <w:spacing w:line="360" w:lineRule="auto"/>
              <w:jc w:val="center"/>
              <w:rPr>
                <w:rFonts w:ascii="Arial" w:hAnsi="Arial" w:cs="Arial"/>
                <w:b/>
                <w:bCs/>
                <w:lang w:val="es-ES" w:bidi="bn-IN"/>
              </w:rPr>
            </w:pPr>
            <w:r w:rsidRPr="00DA74BA">
              <w:rPr>
                <w:rFonts w:ascii="Arial" w:hAnsi="Arial" w:cs="Arial"/>
                <w:b/>
                <w:bCs/>
                <w:lang w:val="es-ES" w:bidi="bn-IN"/>
              </w:rPr>
              <w:t>Posgrado</w:t>
            </w:r>
          </w:p>
        </w:tc>
        <w:tc>
          <w:tcPr>
            <w:tcW w:w="1430" w:type="dxa"/>
            <w:vMerge w:val="restart"/>
            <w:shd w:val="clear" w:color="auto" w:fill="F2F2F2"/>
            <w:vAlign w:val="center"/>
            <w:hideMark/>
          </w:tcPr>
          <w:p w:rsidR="00DA74BA" w:rsidRPr="00DA74BA" w:rsidRDefault="00DA74BA" w:rsidP="00A87AF2">
            <w:pPr>
              <w:spacing w:line="360" w:lineRule="auto"/>
              <w:jc w:val="center"/>
              <w:rPr>
                <w:rFonts w:ascii="Arial" w:hAnsi="Arial" w:cs="Arial"/>
                <w:b/>
                <w:bCs/>
                <w:lang w:val="es-ES" w:bidi="bn-IN"/>
              </w:rPr>
            </w:pPr>
            <w:r w:rsidRPr="00DA74BA">
              <w:rPr>
                <w:rFonts w:ascii="Arial" w:hAnsi="Arial" w:cs="Arial"/>
                <w:b/>
                <w:bCs/>
                <w:lang w:val="es-ES" w:bidi="bn-IN"/>
              </w:rPr>
              <w:t>Total Estudiantes Matriculados en IES</w:t>
            </w:r>
          </w:p>
        </w:tc>
      </w:tr>
      <w:tr w:rsidR="00DA74BA" w:rsidRPr="00DA74BA" w:rsidTr="00A87AF2">
        <w:trPr>
          <w:trHeight w:val="721"/>
        </w:trPr>
        <w:tc>
          <w:tcPr>
            <w:tcW w:w="1174" w:type="dxa"/>
            <w:vMerge/>
            <w:shd w:val="clear" w:color="auto" w:fill="F2F2F2"/>
            <w:vAlign w:val="center"/>
          </w:tcPr>
          <w:p w:rsidR="00DA74BA" w:rsidRPr="00DA74BA" w:rsidRDefault="00DA74BA" w:rsidP="00A87AF2">
            <w:pPr>
              <w:spacing w:line="360" w:lineRule="auto"/>
              <w:jc w:val="center"/>
              <w:rPr>
                <w:rFonts w:ascii="Arial" w:hAnsi="Arial" w:cs="Arial"/>
                <w:b/>
                <w:bCs/>
                <w:lang w:val="es-ES" w:bidi="bn-IN"/>
              </w:rPr>
            </w:pPr>
          </w:p>
        </w:tc>
        <w:tc>
          <w:tcPr>
            <w:tcW w:w="1305" w:type="dxa"/>
            <w:shd w:val="clear" w:color="auto" w:fill="F2F2F2"/>
            <w:vAlign w:val="center"/>
          </w:tcPr>
          <w:p w:rsidR="00DA74BA" w:rsidRPr="00DA74BA" w:rsidRDefault="00DA74BA" w:rsidP="00A87AF2">
            <w:pPr>
              <w:spacing w:line="360" w:lineRule="auto"/>
              <w:jc w:val="center"/>
              <w:rPr>
                <w:rFonts w:ascii="Arial" w:hAnsi="Arial" w:cs="Arial"/>
                <w:b/>
                <w:bCs/>
                <w:lang w:val="es-ES" w:bidi="bn-IN"/>
              </w:rPr>
            </w:pPr>
            <w:r w:rsidRPr="00DA74BA">
              <w:rPr>
                <w:rFonts w:ascii="Arial" w:hAnsi="Arial" w:cs="Arial"/>
                <w:b/>
                <w:bCs/>
                <w:lang w:val="es-ES" w:bidi="bn-IN"/>
              </w:rPr>
              <w:t>Técnica Profesional</w:t>
            </w:r>
          </w:p>
        </w:tc>
        <w:tc>
          <w:tcPr>
            <w:tcW w:w="1207" w:type="dxa"/>
            <w:shd w:val="clear" w:color="auto" w:fill="F2F2F2"/>
            <w:vAlign w:val="center"/>
          </w:tcPr>
          <w:p w:rsidR="00DA74BA" w:rsidRPr="00DA74BA" w:rsidRDefault="00DA74BA" w:rsidP="00A87AF2">
            <w:pPr>
              <w:spacing w:line="360" w:lineRule="auto"/>
              <w:jc w:val="center"/>
              <w:rPr>
                <w:rFonts w:ascii="Arial" w:hAnsi="Arial" w:cs="Arial"/>
                <w:b/>
                <w:bCs/>
                <w:lang w:val="es-ES" w:bidi="bn-IN"/>
              </w:rPr>
            </w:pPr>
            <w:r w:rsidRPr="00DA74BA">
              <w:rPr>
                <w:rFonts w:ascii="Arial" w:hAnsi="Arial" w:cs="Arial"/>
                <w:b/>
                <w:bCs/>
                <w:lang w:val="es-ES" w:bidi="bn-IN"/>
              </w:rPr>
              <w:t>Tecnológica</w:t>
            </w:r>
          </w:p>
        </w:tc>
        <w:tc>
          <w:tcPr>
            <w:tcW w:w="1134" w:type="dxa"/>
            <w:shd w:val="clear" w:color="auto" w:fill="F2F2F2"/>
            <w:vAlign w:val="center"/>
          </w:tcPr>
          <w:p w:rsidR="00DA74BA" w:rsidRPr="00DA74BA" w:rsidRDefault="00DA74BA" w:rsidP="00A87AF2">
            <w:pPr>
              <w:spacing w:line="360" w:lineRule="auto"/>
              <w:jc w:val="center"/>
              <w:rPr>
                <w:rFonts w:ascii="Arial" w:hAnsi="Arial" w:cs="Arial"/>
                <w:b/>
                <w:bCs/>
                <w:lang w:val="es-ES" w:bidi="bn-IN"/>
              </w:rPr>
            </w:pPr>
            <w:r w:rsidRPr="00DA74BA">
              <w:rPr>
                <w:rFonts w:ascii="Arial" w:hAnsi="Arial" w:cs="Arial"/>
                <w:b/>
                <w:bCs/>
                <w:lang w:val="es-ES" w:bidi="bn-IN"/>
              </w:rPr>
              <w:t>Universitaria</w:t>
            </w:r>
          </w:p>
        </w:tc>
        <w:tc>
          <w:tcPr>
            <w:tcW w:w="1417" w:type="dxa"/>
            <w:shd w:val="clear" w:color="auto" w:fill="F2F2F2"/>
            <w:vAlign w:val="center"/>
          </w:tcPr>
          <w:p w:rsidR="00DA74BA" w:rsidRPr="00DA74BA" w:rsidRDefault="00DA74BA" w:rsidP="00A87AF2">
            <w:pPr>
              <w:spacing w:line="360" w:lineRule="auto"/>
              <w:jc w:val="center"/>
              <w:rPr>
                <w:rFonts w:ascii="Arial" w:hAnsi="Arial" w:cs="Arial"/>
                <w:b/>
                <w:bCs/>
                <w:lang w:val="es-ES" w:bidi="bn-IN"/>
              </w:rPr>
            </w:pPr>
            <w:r w:rsidRPr="00DA74BA">
              <w:rPr>
                <w:rFonts w:ascii="Arial" w:hAnsi="Arial" w:cs="Arial"/>
                <w:b/>
                <w:bCs/>
                <w:lang w:val="es-ES" w:bidi="bn-IN"/>
              </w:rPr>
              <w:t>Especialización</w:t>
            </w:r>
          </w:p>
        </w:tc>
        <w:tc>
          <w:tcPr>
            <w:tcW w:w="1134" w:type="dxa"/>
            <w:shd w:val="clear" w:color="auto" w:fill="F2F2F2"/>
            <w:vAlign w:val="center"/>
          </w:tcPr>
          <w:p w:rsidR="00DA74BA" w:rsidRPr="00DA74BA" w:rsidRDefault="00DA74BA" w:rsidP="00A87AF2">
            <w:pPr>
              <w:spacing w:line="360" w:lineRule="auto"/>
              <w:jc w:val="center"/>
              <w:rPr>
                <w:rFonts w:ascii="Arial" w:hAnsi="Arial" w:cs="Arial"/>
                <w:b/>
                <w:bCs/>
                <w:lang w:val="es-ES" w:bidi="bn-IN"/>
              </w:rPr>
            </w:pPr>
            <w:r w:rsidRPr="00DA74BA">
              <w:rPr>
                <w:rFonts w:ascii="Arial" w:hAnsi="Arial" w:cs="Arial"/>
                <w:b/>
                <w:bCs/>
                <w:lang w:val="es-ES" w:bidi="bn-IN"/>
              </w:rPr>
              <w:t>Maestría</w:t>
            </w:r>
          </w:p>
        </w:tc>
        <w:tc>
          <w:tcPr>
            <w:tcW w:w="1430" w:type="dxa"/>
            <w:vMerge/>
            <w:shd w:val="clear" w:color="auto" w:fill="F2F2F2"/>
            <w:vAlign w:val="center"/>
          </w:tcPr>
          <w:p w:rsidR="00DA74BA" w:rsidRPr="00DA74BA" w:rsidRDefault="00DA74BA" w:rsidP="00A87AF2">
            <w:pPr>
              <w:spacing w:line="360" w:lineRule="auto"/>
              <w:jc w:val="center"/>
              <w:rPr>
                <w:rFonts w:ascii="Arial" w:hAnsi="Arial" w:cs="Arial"/>
                <w:b/>
                <w:bCs/>
                <w:lang w:val="es-ES" w:bidi="bn-IN"/>
              </w:rPr>
            </w:pPr>
          </w:p>
        </w:tc>
      </w:tr>
      <w:tr w:rsidR="00DA74BA" w:rsidRPr="00DA74BA" w:rsidTr="00A87AF2">
        <w:trPr>
          <w:trHeight w:val="454"/>
        </w:trPr>
        <w:tc>
          <w:tcPr>
            <w:tcW w:w="1174"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2011</w:t>
            </w:r>
          </w:p>
        </w:tc>
        <w:tc>
          <w:tcPr>
            <w:tcW w:w="1305"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215</w:t>
            </w:r>
          </w:p>
        </w:tc>
        <w:tc>
          <w:tcPr>
            <w:tcW w:w="1207"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3.134</w:t>
            </w:r>
          </w:p>
        </w:tc>
        <w:tc>
          <w:tcPr>
            <w:tcW w:w="1134"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16.819</w:t>
            </w:r>
          </w:p>
        </w:tc>
        <w:tc>
          <w:tcPr>
            <w:tcW w:w="1417"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852</w:t>
            </w:r>
          </w:p>
        </w:tc>
        <w:tc>
          <w:tcPr>
            <w:tcW w:w="1134"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44</w:t>
            </w:r>
          </w:p>
        </w:tc>
        <w:tc>
          <w:tcPr>
            <w:tcW w:w="1430"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21.064</w:t>
            </w:r>
          </w:p>
        </w:tc>
      </w:tr>
      <w:tr w:rsidR="00DA74BA" w:rsidRPr="00DA74BA" w:rsidTr="00A87AF2">
        <w:trPr>
          <w:trHeight w:val="454"/>
        </w:trPr>
        <w:tc>
          <w:tcPr>
            <w:tcW w:w="1174"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2012</w:t>
            </w:r>
          </w:p>
        </w:tc>
        <w:tc>
          <w:tcPr>
            <w:tcW w:w="1305"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278</w:t>
            </w:r>
          </w:p>
        </w:tc>
        <w:tc>
          <w:tcPr>
            <w:tcW w:w="1207"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3.340</w:t>
            </w:r>
          </w:p>
        </w:tc>
        <w:tc>
          <w:tcPr>
            <w:tcW w:w="1134"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18.202</w:t>
            </w:r>
          </w:p>
        </w:tc>
        <w:tc>
          <w:tcPr>
            <w:tcW w:w="1417"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703</w:t>
            </w:r>
          </w:p>
        </w:tc>
        <w:tc>
          <w:tcPr>
            <w:tcW w:w="1134"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63</w:t>
            </w:r>
          </w:p>
        </w:tc>
        <w:tc>
          <w:tcPr>
            <w:tcW w:w="1430"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22.586</w:t>
            </w:r>
          </w:p>
        </w:tc>
      </w:tr>
      <w:tr w:rsidR="00DA74BA" w:rsidRPr="00DA74BA" w:rsidTr="00A87AF2">
        <w:trPr>
          <w:trHeight w:val="454"/>
        </w:trPr>
        <w:tc>
          <w:tcPr>
            <w:tcW w:w="1174"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2013</w:t>
            </w:r>
          </w:p>
        </w:tc>
        <w:tc>
          <w:tcPr>
            <w:tcW w:w="1305"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577</w:t>
            </w:r>
          </w:p>
        </w:tc>
        <w:tc>
          <w:tcPr>
            <w:tcW w:w="1207"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3.745</w:t>
            </w:r>
          </w:p>
        </w:tc>
        <w:tc>
          <w:tcPr>
            <w:tcW w:w="1134"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20.085</w:t>
            </w:r>
          </w:p>
        </w:tc>
        <w:tc>
          <w:tcPr>
            <w:tcW w:w="1417"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760</w:t>
            </w:r>
          </w:p>
        </w:tc>
        <w:tc>
          <w:tcPr>
            <w:tcW w:w="1134"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89</w:t>
            </w:r>
          </w:p>
        </w:tc>
        <w:tc>
          <w:tcPr>
            <w:tcW w:w="1430"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25.256</w:t>
            </w:r>
          </w:p>
        </w:tc>
      </w:tr>
      <w:tr w:rsidR="00DA74BA" w:rsidRPr="00DA74BA" w:rsidTr="00A87AF2">
        <w:trPr>
          <w:trHeight w:val="454"/>
        </w:trPr>
        <w:tc>
          <w:tcPr>
            <w:tcW w:w="1174"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2014</w:t>
            </w:r>
          </w:p>
        </w:tc>
        <w:tc>
          <w:tcPr>
            <w:tcW w:w="1305"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1.091</w:t>
            </w:r>
          </w:p>
        </w:tc>
        <w:tc>
          <w:tcPr>
            <w:tcW w:w="1207"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4.179</w:t>
            </w:r>
          </w:p>
        </w:tc>
        <w:tc>
          <w:tcPr>
            <w:tcW w:w="1134"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20.974</w:t>
            </w:r>
          </w:p>
        </w:tc>
        <w:tc>
          <w:tcPr>
            <w:tcW w:w="1417"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524</w:t>
            </w:r>
          </w:p>
        </w:tc>
        <w:tc>
          <w:tcPr>
            <w:tcW w:w="1134"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170</w:t>
            </w:r>
          </w:p>
        </w:tc>
        <w:tc>
          <w:tcPr>
            <w:tcW w:w="1430"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26.938</w:t>
            </w:r>
          </w:p>
        </w:tc>
      </w:tr>
      <w:tr w:rsidR="00DA74BA" w:rsidRPr="00DA74BA" w:rsidTr="00A87AF2">
        <w:trPr>
          <w:trHeight w:val="454"/>
        </w:trPr>
        <w:tc>
          <w:tcPr>
            <w:tcW w:w="1174"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2015</w:t>
            </w:r>
          </w:p>
        </w:tc>
        <w:tc>
          <w:tcPr>
            <w:tcW w:w="1305"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896</w:t>
            </w:r>
          </w:p>
        </w:tc>
        <w:tc>
          <w:tcPr>
            <w:tcW w:w="1207"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5.352</w:t>
            </w:r>
          </w:p>
        </w:tc>
        <w:tc>
          <w:tcPr>
            <w:tcW w:w="1134"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21.719</w:t>
            </w:r>
          </w:p>
        </w:tc>
        <w:tc>
          <w:tcPr>
            <w:tcW w:w="1417"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742</w:t>
            </w:r>
          </w:p>
        </w:tc>
        <w:tc>
          <w:tcPr>
            <w:tcW w:w="1134"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175</w:t>
            </w:r>
          </w:p>
        </w:tc>
        <w:tc>
          <w:tcPr>
            <w:tcW w:w="1430" w:type="dxa"/>
            <w:shd w:val="clear" w:color="auto" w:fill="auto"/>
            <w:noWrap/>
            <w:vAlign w:val="center"/>
            <w:hideMark/>
          </w:tcPr>
          <w:p w:rsidR="00DA74BA" w:rsidRPr="00DA74BA" w:rsidRDefault="00DA74BA" w:rsidP="00A87AF2">
            <w:pPr>
              <w:spacing w:line="360" w:lineRule="auto"/>
              <w:jc w:val="right"/>
              <w:rPr>
                <w:rFonts w:ascii="Arial" w:hAnsi="Arial" w:cs="Arial"/>
                <w:lang w:val="es-ES" w:bidi="bn-IN"/>
              </w:rPr>
            </w:pPr>
            <w:r w:rsidRPr="00DA74BA">
              <w:rPr>
                <w:rFonts w:ascii="Arial" w:hAnsi="Arial" w:cs="Arial"/>
                <w:lang w:val="es-ES" w:bidi="bn-IN"/>
              </w:rPr>
              <w:t>28.884</w:t>
            </w:r>
          </w:p>
        </w:tc>
      </w:tr>
      <w:tr w:rsidR="00DA74BA" w:rsidRPr="00DA74BA" w:rsidTr="00A87AF2">
        <w:trPr>
          <w:trHeight w:val="454"/>
        </w:trPr>
        <w:tc>
          <w:tcPr>
            <w:tcW w:w="1174" w:type="dxa"/>
            <w:shd w:val="clear" w:color="auto" w:fill="F2F2F2"/>
            <w:noWrap/>
            <w:vAlign w:val="center"/>
            <w:hideMark/>
          </w:tcPr>
          <w:p w:rsidR="00DA74BA" w:rsidRPr="00DA74BA" w:rsidRDefault="00DA74BA" w:rsidP="00A87AF2">
            <w:pPr>
              <w:spacing w:line="360" w:lineRule="auto"/>
              <w:jc w:val="right"/>
              <w:rPr>
                <w:rFonts w:ascii="Arial" w:hAnsi="Arial" w:cs="Arial"/>
                <w:b/>
                <w:bCs/>
                <w:lang w:val="es-ES" w:bidi="bn-IN"/>
              </w:rPr>
            </w:pPr>
            <w:r w:rsidRPr="00DA74BA">
              <w:rPr>
                <w:rFonts w:ascii="Arial" w:hAnsi="Arial" w:cs="Arial"/>
                <w:b/>
                <w:bCs/>
                <w:lang w:val="es-ES" w:bidi="bn-IN"/>
              </w:rPr>
              <w:t>2016</w:t>
            </w:r>
          </w:p>
        </w:tc>
        <w:tc>
          <w:tcPr>
            <w:tcW w:w="1305" w:type="dxa"/>
            <w:shd w:val="clear" w:color="auto" w:fill="F2F2F2"/>
            <w:noWrap/>
            <w:vAlign w:val="center"/>
            <w:hideMark/>
          </w:tcPr>
          <w:p w:rsidR="00DA74BA" w:rsidRPr="00DA74BA" w:rsidRDefault="00DA74BA" w:rsidP="00A87AF2">
            <w:pPr>
              <w:spacing w:line="360" w:lineRule="auto"/>
              <w:jc w:val="right"/>
              <w:rPr>
                <w:rFonts w:ascii="Arial" w:hAnsi="Arial" w:cs="Arial"/>
                <w:b/>
                <w:bCs/>
                <w:lang w:val="es-ES" w:bidi="bn-IN"/>
              </w:rPr>
            </w:pPr>
            <w:r w:rsidRPr="00DA74BA">
              <w:rPr>
                <w:rFonts w:ascii="Arial" w:hAnsi="Arial" w:cs="Arial"/>
                <w:b/>
                <w:bCs/>
                <w:lang w:val="es-ES" w:bidi="bn-IN"/>
              </w:rPr>
              <w:t>1.101</w:t>
            </w:r>
          </w:p>
        </w:tc>
        <w:tc>
          <w:tcPr>
            <w:tcW w:w="1207" w:type="dxa"/>
            <w:shd w:val="clear" w:color="auto" w:fill="F2F2F2"/>
            <w:noWrap/>
            <w:vAlign w:val="center"/>
            <w:hideMark/>
          </w:tcPr>
          <w:p w:rsidR="00DA74BA" w:rsidRPr="00DA74BA" w:rsidRDefault="00DA74BA" w:rsidP="00A87AF2">
            <w:pPr>
              <w:spacing w:line="360" w:lineRule="auto"/>
              <w:jc w:val="right"/>
              <w:rPr>
                <w:rFonts w:ascii="Arial" w:hAnsi="Arial" w:cs="Arial"/>
                <w:b/>
                <w:bCs/>
                <w:lang w:val="es-ES" w:bidi="bn-IN"/>
              </w:rPr>
            </w:pPr>
            <w:r w:rsidRPr="00DA74BA">
              <w:rPr>
                <w:rFonts w:ascii="Arial" w:hAnsi="Arial" w:cs="Arial"/>
                <w:b/>
                <w:bCs/>
                <w:lang w:val="es-ES" w:bidi="bn-IN"/>
              </w:rPr>
              <w:t>5.046</w:t>
            </w:r>
          </w:p>
        </w:tc>
        <w:tc>
          <w:tcPr>
            <w:tcW w:w="1134" w:type="dxa"/>
            <w:shd w:val="clear" w:color="auto" w:fill="F2F2F2"/>
            <w:noWrap/>
            <w:vAlign w:val="center"/>
            <w:hideMark/>
          </w:tcPr>
          <w:p w:rsidR="00DA74BA" w:rsidRPr="00DA74BA" w:rsidRDefault="00DA74BA" w:rsidP="00A87AF2">
            <w:pPr>
              <w:spacing w:line="360" w:lineRule="auto"/>
              <w:jc w:val="right"/>
              <w:rPr>
                <w:rFonts w:ascii="Arial" w:hAnsi="Arial" w:cs="Arial"/>
                <w:b/>
                <w:bCs/>
                <w:lang w:val="es-ES" w:bidi="bn-IN"/>
              </w:rPr>
            </w:pPr>
            <w:r w:rsidRPr="00DA74BA">
              <w:rPr>
                <w:rFonts w:ascii="Arial" w:hAnsi="Arial" w:cs="Arial"/>
                <w:b/>
                <w:bCs/>
                <w:lang w:val="es-ES" w:bidi="bn-IN"/>
              </w:rPr>
              <w:t>23.271</w:t>
            </w:r>
          </w:p>
        </w:tc>
        <w:tc>
          <w:tcPr>
            <w:tcW w:w="1417" w:type="dxa"/>
            <w:shd w:val="clear" w:color="auto" w:fill="F2F2F2"/>
            <w:noWrap/>
            <w:vAlign w:val="center"/>
            <w:hideMark/>
          </w:tcPr>
          <w:p w:rsidR="00DA74BA" w:rsidRPr="00DA74BA" w:rsidRDefault="00DA74BA" w:rsidP="00A87AF2">
            <w:pPr>
              <w:spacing w:line="360" w:lineRule="auto"/>
              <w:jc w:val="right"/>
              <w:rPr>
                <w:rFonts w:ascii="Arial" w:hAnsi="Arial" w:cs="Arial"/>
                <w:b/>
                <w:bCs/>
                <w:lang w:val="es-ES" w:bidi="bn-IN"/>
              </w:rPr>
            </w:pPr>
            <w:r w:rsidRPr="00DA74BA">
              <w:rPr>
                <w:rFonts w:ascii="Arial" w:hAnsi="Arial" w:cs="Arial"/>
                <w:b/>
                <w:bCs/>
                <w:lang w:val="es-ES" w:bidi="bn-IN"/>
              </w:rPr>
              <w:t>842</w:t>
            </w:r>
          </w:p>
        </w:tc>
        <w:tc>
          <w:tcPr>
            <w:tcW w:w="1134" w:type="dxa"/>
            <w:shd w:val="clear" w:color="auto" w:fill="F2F2F2"/>
            <w:noWrap/>
            <w:vAlign w:val="center"/>
            <w:hideMark/>
          </w:tcPr>
          <w:p w:rsidR="00DA74BA" w:rsidRPr="00DA74BA" w:rsidRDefault="00DA74BA" w:rsidP="00A87AF2">
            <w:pPr>
              <w:spacing w:line="360" w:lineRule="auto"/>
              <w:jc w:val="right"/>
              <w:rPr>
                <w:rFonts w:ascii="Arial" w:hAnsi="Arial" w:cs="Arial"/>
                <w:b/>
                <w:bCs/>
                <w:lang w:val="es-ES" w:bidi="bn-IN"/>
              </w:rPr>
            </w:pPr>
            <w:r w:rsidRPr="00DA74BA">
              <w:rPr>
                <w:rFonts w:ascii="Arial" w:hAnsi="Arial" w:cs="Arial"/>
                <w:b/>
                <w:bCs/>
                <w:lang w:val="es-ES" w:bidi="bn-IN"/>
              </w:rPr>
              <w:t>156</w:t>
            </w:r>
          </w:p>
        </w:tc>
        <w:tc>
          <w:tcPr>
            <w:tcW w:w="1430" w:type="dxa"/>
            <w:shd w:val="clear" w:color="auto" w:fill="F2F2F2"/>
            <w:noWrap/>
            <w:vAlign w:val="center"/>
            <w:hideMark/>
          </w:tcPr>
          <w:p w:rsidR="00DA74BA" w:rsidRPr="00DA74BA" w:rsidRDefault="00DA74BA" w:rsidP="00A87AF2">
            <w:pPr>
              <w:spacing w:line="360" w:lineRule="auto"/>
              <w:jc w:val="right"/>
              <w:rPr>
                <w:rFonts w:ascii="Arial" w:hAnsi="Arial" w:cs="Arial"/>
                <w:b/>
                <w:bCs/>
                <w:lang w:val="es-ES" w:bidi="bn-IN"/>
              </w:rPr>
            </w:pPr>
            <w:r w:rsidRPr="00DA74BA">
              <w:rPr>
                <w:rFonts w:ascii="Arial" w:hAnsi="Arial" w:cs="Arial"/>
                <w:b/>
                <w:bCs/>
                <w:lang w:val="es-ES" w:bidi="bn-IN"/>
              </w:rPr>
              <w:t>30.416</w:t>
            </w:r>
          </w:p>
        </w:tc>
      </w:tr>
      <w:tr w:rsidR="00DA74BA" w:rsidRPr="00DA74BA" w:rsidTr="00A87AF2">
        <w:trPr>
          <w:trHeight w:val="454"/>
        </w:trPr>
        <w:tc>
          <w:tcPr>
            <w:tcW w:w="1174" w:type="dxa"/>
            <w:shd w:val="clear" w:color="auto" w:fill="F2F2F2"/>
            <w:noWrap/>
            <w:vAlign w:val="center"/>
          </w:tcPr>
          <w:p w:rsidR="00DA74BA" w:rsidRPr="00DA74BA" w:rsidRDefault="00DA74BA" w:rsidP="00A87AF2">
            <w:pPr>
              <w:spacing w:line="360" w:lineRule="auto"/>
              <w:jc w:val="center"/>
              <w:rPr>
                <w:rFonts w:ascii="Arial" w:hAnsi="Arial" w:cs="Arial"/>
                <w:b/>
                <w:bCs/>
                <w:lang w:val="es-ES" w:bidi="bn-IN"/>
              </w:rPr>
            </w:pPr>
            <w:r w:rsidRPr="00DA74BA">
              <w:rPr>
                <w:rFonts w:ascii="Arial" w:hAnsi="Arial" w:cs="Arial"/>
                <w:b/>
                <w:bCs/>
                <w:lang w:val="es-ES" w:bidi="bn-IN"/>
              </w:rPr>
              <w:t>Varia-</w:t>
            </w:r>
            <w:proofErr w:type="spellStart"/>
            <w:r w:rsidRPr="00DA74BA">
              <w:rPr>
                <w:rFonts w:ascii="Arial" w:hAnsi="Arial" w:cs="Arial"/>
                <w:b/>
                <w:bCs/>
                <w:lang w:val="es-ES" w:bidi="bn-IN"/>
              </w:rPr>
              <w:t>ción</w:t>
            </w:r>
            <w:proofErr w:type="spellEnd"/>
            <w:r w:rsidRPr="00DA74BA">
              <w:rPr>
                <w:rFonts w:ascii="Arial" w:hAnsi="Arial" w:cs="Arial"/>
                <w:b/>
                <w:bCs/>
                <w:lang w:val="es-ES" w:bidi="bn-IN"/>
              </w:rPr>
              <w:t xml:space="preserve"> </w:t>
            </w:r>
            <w:proofErr w:type="spellStart"/>
            <w:r w:rsidRPr="00DA74BA">
              <w:rPr>
                <w:rFonts w:ascii="Arial" w:hAnsi="Arial" w:cs="Arial"/>
                <w:b/>
                <w:bCs/>
                <w:lang w:val="es-ES" w:bidi="bn-IN"/>
              </w:rPr>
              <w:t>Porcen-tual</w:t>
            </w:r>
            <w:proofErr w:type="spellEnd"/>
          </w:p>
        </w:tc>
        <w:tc>
          <w:tcPr>
            <w:tcW w:w="1305" w:type="dxa"/>
            <w:shd w:val="clear" w:color="auto" w:fill="F2F2F2"/>
            <w:noWrap/>
            <w:vAlign w:val="center"/>
          </w:tcPr>
          <w:p w:rsidR="00DA74BA" w:rsidRPr="00DA74BA" w:rsidRDefault="00DA74BA" w:rsidP="00A87AF2">
            <w:pPr>
              <w:spacing w:line="360" w:lineRule="auto"/>
              <w:jc w:val="right"/>
              <w:rPr>
                <w:rFonts w:ascii="Arial" w:hAnsi="Arial" w:cs="Arial"/>
                <w:b/>
                <w:bCs/>
                <w:lang w:val="es-ES" w:bidi="bn-IN"/>
              </w:rPr>
            </w:pPr>
            <w:r w:rsidRPr="00DA74BA">
              <w:rPr>
                <w:rFonts w:ascii="Arial" w:hAnsi="Arial" w:cs="Arial"/>
                <w:b/>
                <w:bCs/>
                <w:lang w:val="es-ES" w:bidi="bn-IN"/>
              </w:rPr>
              <w:t>412%</w:t>
            </w:r>
          </w:p>
        </w:tc>
        <w:tc>
          <w:tcPr>
            <w:tcW w:w="1207" w:type="dxa"/>
            <w:shd w:val="clear" w:color="auto" w:fill="F2F2F2"/>
            <w:noWrap/>
            <w:vAlign w:val="center"/>
          </w:tcPr>
          <w:p w:rsidR="00DA74BA" w:rsidRPr="00DA74BA" w:rsidRDefault="00DA74BA" w:rsidP="00A87AF2">
            <w:pPr>
              <w:spacing w:line="360" w:lineRule="auto"/>
              <w:jc w:val="right"/>
              <w:rPr>
                <w:rFonts w:ascii="Arial" w:hAnsi="Arial" w:cs="Arial"/>
                <w:b/>
                <w:bCs/>
                <w:lang w:val="es-ES" w:bidi="bn-IN"/>
              </w:rPr>
            </w:pPr>
            <w:r w:rsidRPr="00DA74BA">
              <w:rPr>
                <w:rFonts w:ascii="Arial" w:hAnsi="Arial" w:cs="Arial"/>
                <w:b/>
                <w:bCs/>
                <w:lang w:val="es-ES" w:bidi="bn-IN"/>
              </w:rPr>
              <w:t>61%</w:t>
            </w:r>
          </w:p>
        </w:tc>
        <w:tc>
          <w:tcPr>
            <w:tcW w:w="1134" w:type="dxa"/>
            <w:shd w:val="clear" w:color="auto" w:fill="F2F2F2"/>
            <w:noWrap/>
            <w:vAlign w:val="center"/>
          </w:tcPr>
          <w:p w:rsidR="00DA74BA" w:rsidRPr="00DA74BA" w:rsidRDefault="00DA74BA" w:rsidP="00A87AF2">
            <w:pPr>
              <w:spacing w:line="360" w:lineRule="auto"/>
              <w:jc w:val="right"/>
              <w:rPr>
                <w:rFonts w:ascii="Arial" w:hAnsi="Arial" w:cs="Arial"/>
                <w:b/>
                <w:bCs/>
                <w:lang w:val="es-ES" w:bidi="bn-IN"/>
              </w:rPr>
            </w:pPr>
            <w:r w:rsidRPr="00DA74BA">
              <w:rPr>
                <w:rFonts w:ascii="Arial" w:hAnsi="Arial" w:cs="Arial"/>
                <w:b/>
                <w:bCs/>
                <w:lang w:val="es-ES" w:bidi="bn-IN"/>
              </w:rPr>
              <w:t>38%</w:t>
            </w:r>
          </w:p>
        </w:tc>
        <w:tc>
          <w:tcPr>
            <w:tcW w:w="1417" w:type="dxa"/>
            <w:shd w:val="clear" w:color="auto" w:fill="F2F2F2"/>
            <w:noWrap/>
            <w:vAlign w:val="center"/>
          </w:tcPr>
          <w:p w:rsidR="00DA74BA" w:rsidRPr="00DA74BA" w:rsidRDefault="00DA74BA" w:rsidP="00A87AF2">
            <w:pPr>
              <w:spacing w:line="360" w:lineRule="auto"/>
              <w:jc w:val="right"/>
              <w:rPr>
                <w:rFonts w:ascii="Arial" w:hAnsi="Arial" w:cs="Arial"/>
                <w:b/>
                <w:bCs/>
                <w:lang w:val="es-ES" w:bidi="bn-IN"/>
              </w:rPr>
            </w:pPr>
            <w:r w:rsidRPr="00DA74BA">
              <w:rPr>
                <w:rFonts w:ascii="Arial" w:hAnsi="Arial" w:cs="Arial"/>
                <w:b/>
                <w:bCs/>
                <w:lang w:val="es-ES" w:bidi="bn-IN"/>
              </w:rPr>
              <w:t>-1%</w:t>
            </w:r>
          </w:p>
        </w:tc>
        <w:tc>
          <w:tcPr>
            <w:tcW w:w="1134" w:type="dxa"/>
            <w:shd w:val="clear" w:color="auto" w:fill="F2F2F2"/>
            <w:noWrap/>
            <w:vAlign w:val="center"/>
          </w:tcPr>
          <w:p w:rsidR="00DA74BA" w:rsidRPr="00DA74BA" w:rsidRDefault="00DA74BA" w:rsidP="00A87AF2">
            <w:pPr>
              <w:spacing w:line="360" w:lineRule="auto"/>
              <w:jc w:val="right"/>
              <w:rPr>
                <w:rFonts w:ascii="Arial" w:hAnsi="Arial" w:cs="Arial"/>
                <w:b/>
                <w:bCs/>
                <w:lang w:val="es-ES" w:bidi="bn-IN"/>
              </w:rPr>
            </w:pPr>
            <w:r w:rsidRPr="00DA74BA">
              <w:rPr>
                <w:rFonts w:ascii="Arial" w:hAnsi="Arial" w:cs="Arial"/>
                <w:b/>
                <w:bCs/>
                <w:lang w:val="es-ES" w:bidi="bn-IN"/>
              </w:rPr>
              <w:t>255%</w:t>
            </w:r>
          </w:p>
        </w:tc>
        <w:tc>
          <w:tcPr>
            <w:tcW w:w="1430" w:type="dxa"/>
            <w:shd w:val="clear" w:color="auto" w:fill="F2F2F2"/>
            <w:noWrap/>
            <w:vAlign w:val="center"/>
          </w:tcPr>
          <w:p w:rsidR="00DA74BA" w:rsidRPr="00DA74BA" w:rsidRDefault="00DA74BA" w:rsidP="00A87AF2">
            <w:pPr>
              <w:spacing w:line="360" w:lineRule="auto"/>
              <w:jc w:val="right"/>
              <w:rPr>
                <w:rFonts w:ascii="Arial" w:hAnsi="Arial" w:cs="Arial"/>
                <w:b/>
                <w:bCs/>
                <w:lang w:val="es-ES" w:bidi="bn-IN"/>
              </w:rPr>
            </w:pPr>
            <w:r w:rsidRPr="00DA74BA">
              <w:rPr>
                <w:rFonts w:ascii="Arial" w:hAnsi="Arial" w:cs="Arial"/>
                <w:b/>
                <w:bCs/>
                <w:lang w:val="es-ES" w:bidi="bn-IN"/>
              </w:rPr>
              <w:t>44%</w:t>
            </w:r>
          </w:p>
        </w:tc>
      </w:tr>
    </w:tbl>
    <w:p w:rsidR="00DA74BA" w:rsidRPr="00DA74BA" w:rsidRDefault="00DA74BA" w:rsidP="00DA74BA">
      <w:pPr>
        <w:spacing w:line="360" w:lineRule="auto"/>
        <w:jc w:val="both"/>
        <w:rPr>
          <w:rFonts w:ascii="Arial" w:hAnsi="Arial" w:cs="Arial"/>
          <w:lang w:val="es-ES"/>
        </w:rPr>
      </w:pPr>
    </w:p>
    <w:p w:rsidR="00DA74BA" w:rsidRPr="00DA74BA" w:rsidRDefault="00DA74BA" w:rsidP="00DA74BA">
      <w:pPr>
        <w:spacing w:line="360" w:lineRule="auto"/>
        <w:jc w:val="both"/>
        <w:rPr>
          <w:rFonts w:ascii="Arial" w:hAnsi="Arial" w:cs="Arial"/>
          <w:lang w:val="es-ES"/>
        </w:rPr>
      </w:pPr>
      <w:r w:rsidRPr="00DA74BA">
        <w:rPr>
          <w:rFonts w:ascii="Arial" w:hAnsi="Arial" w:cs="Arial"/>
          <w:lang w:val="es-ES"/>
        </w:rPr>
        <w:t>De acuerdo con lo anterior, es claro que el sector educativo superior viene registrando un crecimiento constante, pero que, para su consolidación en el largo plazo, se requiere un apoyo desde la institucionalidad especialmente en el acceso a los programas. Así, si se observa, por ejemplo, el caso de los programas de especialización se puede afirmar que se trata de un sector que puede registrar variaciones positivas como negativas por lo que se requiere del apoyo institucional que permita su fortalecimiento.</w:t>
      </w:r>
    </w:p>
    <w:p w:rsidR="00DA74BA" w:rsidRPr="00DA74BA" w:rsidRDefault="00DA74BA" w:rsidP="00DA74BA">
      <w:pPr>
        <w:spacing w:line="360" w:lineRule="auto"/>
        <w:jc w:val="both"/>
        <w:rPr>
          <w:rFonts w:ascii="Arial" w:hAnsi="Arial" w:cs="Arial"/>
          <w:lang w:val="es-ES"/>
        </w:rPr>
      </w:pPr>
    </w:p>
    <w:p w:rsidR="00DA74BA" w:rsidRPr="00DA74BA" w:rsidRDefault="00DA74BA" w:rsidP="00DA74BA">
      <w:pPr>
        <w:spacing w:line="360" w:lineRule="auto"/>
        <w:jc w:val="both"/>
        <w:rPr>
          <w:rFonts w:ascii="Arial" w:hAnsi="Arial" w:cs="Arial"/>
          <w:lang w:val="es-ES"/>
        </w:rPr>
      </w:pPr>
      <w:r w:rsidRPr="00DA74BA">
        <w:rPr>
          <w:rFonts w:ascii="Arial" w:hAnsi="Arial" w:cs="Arial"/>
          <w:lang w:val="es-ES"/>
        </w:rPr>
        <w:t>Como se mostrará en la gráfica siguiente</w:t>
      </w:r>
      <w:r w:rsidRPr="00DA74BA">
        <w:rPr>
          <w:rStyle w:val="Refdenotaalpie"/>
          <w:rFonts w:ascii="Arial" w:hAnsi="Arial" w:cs="Arial"/>
          <w:lang w:val="es-ES"/>
        </w:rPr>
        <w:footnoteReference w:id="5"/>
      </w:r>
      <w:r w:rsidRPr="00DA74BA">
        <w:rPr>
          <w:rFonts w:ascii="Arial" w:hAnsi="Arial" w:cs="Arial"/>
          <w:lang w:val="es-ES"/>
        </w:rPr>
        <w:t xml:space="preserve">, la formación a nivel de título profesional o universitario sigue teniendo una altísima participación en la demanda educativa de la ciudad, lo cual demuestra que se requiere una institucionalidad con mayor capacidad de gestión para consolidar el acceso de los profesionales de la ciudad a programas de educación superior a nivel de posgrado -especializaciones, maestrías y doctorados-. </w:t>
      </w:r>
    </w:p>
    <w:p w:rsidR="00DA74BA" w:rsidRPr="00DA74BA" w:rsidRDefault="00DA74BA" w:rsidP="00DA74BA">
      <w:pPr>
        <w:spacing w:line="360" w:lineRule="auto"/>
        <w:jc w:val="center"/>
        <w:rPr>
          <w:rFonts w:ascii="Arial" w:hAnsi="Arial" w:cs="Arial"/>
          <w:lang w:val="es-ES"/>
        </w:rPr>
      </w:pPr>
      <w:r w:rsidRPr="00DA74BA">
        <w:rPr>
          <w:rFonts w:ascii="Arial" w:hAnsi="Arial" w:cs="Arial"/>
          <w:noProof/>
          <w:lang w:eastAsia="es-CO"/>
        </w:rPr>
        <w:drawing>
          <wp:inline distT="0" distB="0" distL="0" distR="0" wp14:anchorId="6E44638D" wp14:editId="50AC06D1">
            <wp:extent cx="4076700" cy="2392680"/>
            <wp:effectExtent l="0" t="0" r="0" b="0"/>
            <wp:docPr id="2" name="Gráfico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áfico 7"/>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76700" cy="2392680"/>
                    </a:xfrm>
                    <a:prstGeom prst="rect">
                      <a:avLst/>
                    </a:prstGeom>
                    <a:noFill/>
                    <a:ln>
                      <a:noFill/>
                    </a:ln>
                  </pic:spPr>
                </pic:pic>
              </a:graphicData>
            </a:graphic>
          </wp:inline>
        </w:drawing>
      </w:r>
    </w:p>
    <w:p w:rsidR="00DA74BA" w:rsidRPr="00DA74BA" w:rsidRDefault="00DA74BA" w:rsidP="00DA74BA">
      <w:pPr>
        <w:spacing w:line="360" w:lineRule="auto"/>
        <w:jc w:val="both"/>
        <w:rPr>
          <w:rFonts w:ascii="Arial" w:hAnsi="Arial" w:cs="Arial"/>
          <w:lang w:val="es-ES"/>
        </w:rPr>
      </w:pPr>
      <w:r w:rsidRPr="00DA74BA">
        <w:rPr>
          <w:rFonts w:ascii="Arial" w:hAnsi="Arial" w:cs="Arial"/>
          <w:lang w:val="es-ES"/>
        </w:rPr>
        <w:t>Por otra parte, es necesario considerar que el crecimiento de la demanda no se puede considerar como que la tarea sobre la cobertura tanto en el departamento como en la ciudad están cumplidas. Así entonces, el análisis de las necesidades y perspectivas de la educación superior en Villavicencio debe considerar el hecho que, al servir como punto de formación para estudiantes de distintas poblaciones del departamento, la ciudad debería tener como objetivo contribuir al mejoramiento de la tasa de cobertura del Meta, la cual, según información del Ministerio de Educación, fue de un 37,4% para 2016 es decir inferior a la media nacional, que se situó en 51,5% para el mismo año</w:t>
      </w:r>
      <w:r w:rsidRPr="00DA74BA">
        <w:rPr>
          <w:rStyle w:val="Refdenotaalpie"/>
          <w:rFonts w:ascii="Arial" w:hAnsi="Arial" w:cs="Arial"/>
          <w:lang w:val="es-ES"/>
        </w:rPr>
        <w:footnoteReference w:id="6"/>
      </w:r>
      <w:r w:rsidRPr="00DA74BA">
        <w:rPr>
          <w:rFonts w:ascii="Arial" w:hAnsi="Arial" w:cs="Arial"/>
          <w:lang w:val="es-ES"/>
        </w:rPr>
        <w:t>.</w:t>
      </w:r>
    </w:p>
    <w:p w:rsidR="00DA74BA" w:rsidRPr="00DA74BA" w:rsidRDefault="00DA74BA" w:rsidP="00DA74BA">
      <w:pPr>
        <w:spacing w:line="360" w:lineRule="auto"/>
        <w:jc w:val="both"/>
        <w:rPr>
          <w:rFonts w:ascii="Arial" w:eastAsia="MS Mincho" w:hAnsi="Arial" w:cs="Arial"/>
          <w:lang w:val="es-ES"/>
        </w:rPr>
      </w:pPr>
      <w:r w:rsidRPr="00DA74BA">
        <w:rPr>
          <w:rFonts w:ascii="Arial" w:hAnsi="Arial" w:cs="Arial"/>
          <w:lang w:val="es-ES"/>
        </w:rPr>
        <w:t xml:space="preserve">De lo expuesto, es claro que Villavicencio se viene consolidando de manera firme como un centro de formación de educación superior de la región de la Orinoquía. No obstante, esta tarea no está acabada y requiere del apoyo de una institucionalidad con una fuerte capacidad de gestión de recursos que pueda generar alianzas en todos los niveles de la administración, de manera que este sector pueda afianzar sus logros actuales y proyectarse </w:t>
      </w:r>
      <w:r w:rsidRPr="00DA74BA">
        <w:rPr>
          <w:rFonts w:ascii="Arial" w:hAnsi="Arial" w:cs="Arial"/>
          <w:lang w:val="es-ES"/>
        </w:rPr>
        <w:lastRenderedPageBreak/>
        <w:t xml:space="preserve">con seguridad en el mediano y largo plazo; objetivo éste que se puede conseguir si se logra que la ciudad cuente con un régimen que le permita gestionar de manera más eficiente sus recursos, como sería a través de la renovación de la estampilla </w:t>
      </w:r>
      <w:r w:rsidRPr="00DA74BA">
        <w:rPr>
          <w:rFonts w:ascii="Arial" w:hAnsi="Arial" w:cs="Arial"/>
        </w:rPr>
        <w:t>“Universidad de los Llanos”.</w:t>
      </w:r>
    </w:p>
    <w:p w:rsidR="00DA74BA" w:rsidRPr="00DA74BA" w:rsidRDefault="00DA74BA" w:rsidP="00DA74BA">
      <w:pPr>
        <w:pStyle w:val="Prrafodelista"/>
        <w:numPr>
          <w:ilvl w:val="0"/>
          <w:numId w:val="7"/>
        </w:numPr>
        <w:suppressAutoHyphens/>
        <w:adjustRightInd w:val="0"/>
        <w:spacing w:before="57" w:after="57" w:line="288" w:lineRule="auto"/>
        <w:textAlignment w:val="center"/>
        <w:rPr>
          <w:rFonts w:ascii="Arial" w:eastAsia="Times New Roman" w:hAnsi="Arial" w:cs="Arial"/>
          <w:b/>
          <w:i/>
          <w:lang w:eastAsia="es-CO"/>
        </w:rPr>
      </w:pPr>
      <w:r w:rsidRPr="00DA74BA">
        <w:rPr>
          <w:rFonts w:ascii="Arial" w:eastAsia="Times New Roman" w:hAnsi="Arial" w:cs="Arial"/>
          <w:b/>
          <w:i/>
          <w:lang w:eastAsia="es-CO"/>
        </w:rPr>
        <w:t>LA UNIVERSIDAD DE LOS LLANOS</w:t>
      </w:r>
    </w:p>
    <w:p w:rsidR="00FF6A5C" w:rsidRPr="00DA74BA" w:rsidRDefault="00FF6A5C" w:rsidP="00DA74BA">
      <w:pPr>
        <w:suppressAutoHyphens/>
        <w:autoSpaceDE w:val="0"/>
        <w:autoSpaceDN w:val="0"/>
        <w:adjustRightInd w:val="0"/>
        <w:spacing w:before="57" w:after="28"/>
        <w:ind w:right="49"/>
        <w:jc w:val="both"/>
        <w:rPr>
          <w:rFonts w:ascii="Arial" w:eastAsia="Century Gothic" w:hAnsi="Arial" w:cs="Arial"/>
          <w:b/>
        </w:rPr>
      </w:pPr>
    </w:p>
    <w:p w:rsidR="00DA74BA" w:rsidRPr="00DA74BA" w:rsidRDefault="00DA74BA" w:rsidP="00DA74BA">
      <w:pPr>
        <w:spacing w:after="0" w:line="360" w:lineRule="auto"/>
        <w:jc w:val="both"/>
        <w:rPr>
          <w:rFonts w:ascii="Arial" w:eastAsia="Times New Roman" w:hAnsi="Arial" w:cs="Arial"/>
          <w:lang w:eastAsia="es-CO"/>
        </w:rPr>
      </w:pPr>
      <w:r w:rsidRPr="00DA74BA">
        <w:rPr>
          <w:rFonts w:ascii="Arial" w:eastAsia="Times New Roman" w:hAnsi="Arial" w:cs="Arial"/>
          <w:lang w:eastAsia="es-CO"/>
        </w:rPr>
        <w:t>La Universidad de los Llanos es una Institución del Orden Nacional que desarrolla el servicio público de la Educación Superior, sujeta a inspección y vigilancia por el Ministerio de Educación Nacional.</w:t>
      </w:r>
    </w:p>
    <w:p w:rsidR="00DA74BA" w:rsidRPr="00DA74BA" w:rsidRDefault="00DA74BA" w:rsidP="00DA74BA">
      <w:pPr>
        <w:spacing w:before="75" w:after="75" w:line="360" w:lineRule="auto"/>
        <w:jc w:val="both"/>
        <w:rPr>
          <w:rFonts w:ascii="Arial" w:eastAsia="Times New Roman" w:hAnsi="Arial" w:cs="Arial"/>
          <w:lang w:eastAsia="es-CO"/>
        </w:rPr>
      </w:pPr>
      <w:r w:rsidRPr="00DA74BA">
        <w:rPr>
          <w:rFonts w:ascii="Arial" w:eastAsia="Times New Roman" w:hAnsi="Arial" w:cs="Arial"/>
          <w:lang w:eastAsia="es-CO"/>
        </w:rPr>
        <w:t>Creada mediante la Ley 8 de 1974 y el Decreto 2513 de noviembre 25 de 1974 expedido por el Ministerio de Educación Nacional; y reconocida como Universidad mediante la Resolución No. 03273 del 25 de junio de 1993 emanada del mismo Ministerio. Es un ente universitario autónomo, con carácter estatal, régimen especial, personería jurídica; al igual que en su gobierno, en su ejercicio académico, administrativo, financiero y presupuestal; con rentas y patrimonio propios e independientes; además, se encuentra vinculada al Ministerio de Educación Nacional en lo referente a la política y a la planeación del sector educativo, al Sistema Nacional de Ciencia y Tecnología y al Sistema Nacional de Cultura; se rige por la Constitución Política, la Ley 30 de 1992, las demás disposiciones que le sean aplicables de acuerdo con su régimen especial y las normas internas emitidas en ejercicio de su autonomía. </w:t>
      </w:r>
      <w:r w:rsidRPr="00DA74BA">
        <w:rPr>
          <w:rFonts w:ascii="Arial" w:eastAsia="Times New Roman" w:hAnsi="Arial" w:cs="Arial"/>
          <w:lang w:eastAsia="es-CO"/>
        </w:rPr>
        <w:br/>
      </w:r>
      <w:r w:rsidRPr="00DA74BA">
        <w:rPr>
          <w:rFonts w:ascii="Arial" w:eastAsia="Times New Roman" w:hAnsi="Arial" w:cs="Arial"/>
          <w:lang w:eastAsia="es-CO"/>
        </w:rPr>
        <w:br/>
        <w:t>La Universidad de los Llanos tiene domicilio principal en Villavicencio, capital del Departamento del Meta, República de Colombia. Sin embargo, con arreglo a la Ley y al Estatuto General, puede establecer seccionales y dependencias en cualquier lugar del territorio nacional, priorizando como área de influencia la Orinoquia Colombiana</w:t>
      </w:r>
      <w:r w:rsidRPr="00DA74BA">
        <w:rPr>
          <w:rStyle w:val="Refdenotaalpie"/>
          <w:rFonts w:ascii="Arial" w:eastAsia="Times New Roman" w:hAnsi="Arial" w:cs="Arial"/>
          <w:lang w:eastAsia="es-CO"/>
        </w:rPr>
        <w:footnoteReference w:id="7"/>
      </w:r>
      <w:r w:rsidRPr="00DA74BA">
        <w:rPr>
          <w:rFonts w:ascii="Arial" w:eastAsia="Times New Roman" w:hAnsi="Arial" w:cs="Arial"/>
          <w:lang w:eastAsia="es-CO"/>
        </w:rPr>
        <w:t>. </w:t>
      </w:r>
    </w:p>
    <w:p w:rsidR="00DA74BA" w:rsidRPr="00DA74BA" w:rsidRDefault="00DA74BA" w:rsidP="00DA74BA">
      <w:pPr>
        <w:spacing w:before="75" w:after="75" w:line="360" w:lineRule="auto"/>
        <w:jc w:val="both"/>
        <w:rPr>
          <w:rFonts w:ascii="Arial" w:eastAsia="Times New Roman" w:hAnsi="Arial" w:cs="Arial"/>
          <w:b/>
          <w:lang w:eastAsia="es-CO"/>
        </w:rPr>
      </w:pPr>
    </w:p>
    <w:p w:rsidR="00DA74BA" w:rsidRPr="00DA74BA" w:rsidRDefault="00DA74BA" w:rsidP="00DA74BA">
      <w:pPr>
        <w:pStyle w:val="Prrafodelista"/>
        <w:numPr>
          <w:ilvl w:val="0"/>
          <w:numId w:val="7"/>
        </w:numPr>
        <w:spacing w:before="75" w:after="75" w:line="360" w:lineRule="auto"/>
        <w:jc w:val="both"/>
        <w:rPr>
          <w:rFonts w:ascii="Arial" w:eastAsia="Times New Roman" w:hAnsi="Arial" w:cs="Arial"/>
          <w:b/>
          <w:lang w:eastAsia="es-CO"/>
        </w:rPr>
      </w:pPr>
      <w:r w:rsidRPr="00DA74BA">
        <w:rPr>
          <w:rFonts w:ascii="Arial" w:eastAsia="Times New Roman" w:hAnsi="Arial" w:cs="Arial"/>
          <w:b/>
          <w:lang w:eastAsia="es-CO"/>
        </w:rPr>
        <w:t>LA ESTAMPILLA “UNIVERSIDAD DE LOS LLANOS”</w:t>
      </w:r>
    </w:p>
    <w:p w:rsidR="00DA74BA" w:rsidRPr="00DA74BA" w:rsidRDefault="00DA74BA" w:rsidP="00830D97">
      <w:pPr>
        <w:suppressAutoHyphens/>
        <w:autoSpaceDE w:val="0"/>
        <w:autoSpaceDN w:val="0"/>
        <w:adjustRightInd w:val="0"/>
        <w:spacing w:before="57" w:after="28"/>
        <w:ind w:right="49"/>
        <w:jc w:val="both"/>
        <w:rPr>
          <w:rFonts w:ascii="Arial" w:eastAsia="Century Gothic" w:hAnsi="Arial" w:cs="Arial"/>
          <w:b/>
        </w:rPr>
      </w:pPr>
    </w:p>
    <w:p w:rsidR="00DA74BA" w:rsidRPr="00DA74BA" w:rsidRDefault="00C6589F" w:rsidP="00DA74BA">
      <w:pPr>
        <w:spacing w:line="360" w:lineRule="auto"/>
        <w:jc w:val="both"/>
        <w:rPr>
          <w:rFonts w:ascii="Arial" w:hAnsi="Arial" w:cs="Arial"/>
        </w:rPr>
      </w:pPr>
      <w:r w:rsidRPr="00DA74BA">
        <w:rPr>
          <w:rFonts w:ascii="Arial" w:hAnsi="Arial" w:cs="Arial"/>
        </w:rPr>
        <w:t>La Ley 1178 del 27 de diciembre de 2007 autorizó a la Asamblea Departamental del Meta y a los Concejos Municipales ordenar la emisión de la estampilla “Universidad de los Llanos, 32 años construye</w:t>
      </w:r>
      <w:r w:rsidR="00DA74BA" w:rsidRPr="00DA74BA">
        <w:rPr>
          <w:rFonts w:ascii="Arial" w:hAnsi="Arial" w:cs="Arial"/>
        </w:rPr>
        <w:t>ndo Orinoquía”. El artículo 3</w:t>
      </w:r>
      <w:r w:rsidRPr="00DA74BA">
        <w:rPr>
          <w:rFonts w:ascii="Arial" w:hAnsi="Arial" w:cs="Arial"/>
        </w:rPr>
        <w:t xml:space="preserve"> estableció que dichos recursos se destinarían exclusivamente al desarrollo científico en las líneas de investigación </w:t>
      </w:r>
      <w:r w:rsidRPr="00DA74BA">
        <w:rPr>
          <w:rFonts w:ascii="Arial" w:hAnsi="Arial" w:cs="Arial"/>
        </w:rPr>
        <w:lastRenderedPageBreak/>
        <w:t xml:space="preserve">institucionales y, a la apertura de nuevos programas académicos. De igual forma, designó la administración de los recursos al Consejo Superior de la Universidad de los Llanos. En consecuencia, la Asamblea Departamental del Meta a través de Ordenanza 662 del 29 de noviembre de 2008, autorizó la emisión de la estampilla “Universidad de los Llanos” y determinó el uso de este recaudo a lo indicado en la Ley 1178 de 2007. </w:t>
      </w:r>
    </w:p>
    <w:p w:rsidR="00DA74BA" w:rsidRPr="00DA74BA" w:rsidRDefault="00C6589F" w:rsidP="00DA74BA">
      <w:pPr>
        <w:spacing w:line="360" w:lineRule="auto"/>
        <w:jc w:val="both"/>
        <w:rPr>
          <w:rFonts w:ascii="Arial" w:hAnsi="Arial" w:cs="Arial"/>
        </w:rPr>
      </w:pPr>
      <w:r w:rsidRPr="00DA74BA">
        <w:rPr>
          <w:rFonts w:ascii="Arial" w:hAnsi="Arial" w:cs="Arial"/>
        </w:rPr>
        <w:t xml:space="preserve">Adicionalmente, los artículos 9°, 10° y 15° estipularon que el manejo de los recursos de estampilla se haría a través de la Junta Estampilla </w:t>
      </w:r>
      <w:proofErr w:type="spellStart"/>
      <w:r w:rsidRPr="00DA74BA">
        <w:rPr>
          <w:rFonts w:ascii="Arial" w:hAnsi="Arial" w:cs="Arial"/>
        </w:rPr>
        <w:t>Unillanos</w:t>
      </w:r>
      <w:proofErr w:type="spellEnd"/>
      <w:r w:rsidRPr="00DA74BA">
        <w:rPr>
          <w:rFonts w:ascii="Arial" w:hAnsi="Arial" w:cs="Arial"/>
        </w:rPr>
        <w:t xml:space="preserve">, la cual estaría integrada por el Gobernador del Departamento, el Rector de la Universidad, representante de los estudiantes ante el Consejo Superior de la Universidad, Secretario de Hacienda y Secretario de Planeación del Departamento. </w:t>
      </w:r>
    </w:p>
    <w:p w:rsidR="00DA74BA" w:rsidRPr="00DA74BA" w:rsidRDefault="00C6589F" w:rsidP="00DA74BA">
      <w:pPr>
        <w:spacing w:line="360" w:lineRule="auto"/>
        <w:jc w:val="both"/>
        <w:rPr>
          <w:rFonts w:ascii="Arial" w:hAnsi="Arial" w:cs="Arial"/>
        </w:rPr>
      </w:pPr>
      <w:r w:rsidRPr="00DA74BA">
        <w:rPr>
          <w:rFonts w:ascii="Arial" w:hAnsi="Arial" w:cs="Arial"/>
        </w:rPr>
        <w:t xml:space="preserve">A través de la Ordenanza 724 de 2010 se reglamentó el cobro de la estampilla a contratos que celebren el Departamento del Meta y municipios y sus entidades descentralizadas, Contraloría Departamental del Meta, Personerías Municipales del Departamento del Meta, cuyo valor supere el diez por ciento de la menor cuantía de la contratación de cada entidad, aplicando la tarifa del 1% sobre el valor del contrato. Adicionalmente, gravó las licencias de construcción expedidas en el Departamento del Meta. </w:t>
      </w:r>
    </w:p>
    <w:p w:rsidR="00DA74BA" w:rsidRPr="00DA74BA" w:rsidRDefault="00C6589F" w:rsidP="00DA74BA">
      <w:pPr>
        <w:spacing w:line="360" w:lineRule="auto"/>
        <w:jc w:val="both"/>
        <w:rPr>
          <w:rFonts w:ascii="Arial" w:hAnsi="Arial" w:cs="Arial"/>
        </w:rPr>
      </w:pPr>
      <w:r w:rsidRPr="00DA74BA">
        <w:rPr>
          <w:rFonts w:ascii="Arial" w:hAnsi="Arial" w:cs="Arial"/>
        </w:rPr>
        <w:t xml:space="preserve">La citada ordenanza excluyó de su cobro a los contratos y convenios interadministrativos suscritos entre las entidades públicas del orden nacional, departamental y municipal, a las empresas sociales del estado a nivel departamental y municipal, a excepción de la compra de equipos biomédicos y los servicios de transporte y a los contratos de prestación de servicios profesionales o no profesionales celebrados con personas naturales. </w:t>
      </w:r>
    </w:p>
    <w:p w:rsidR="00C122DF" w:rsidRPr="00DA74BA" w:rsidRDefault="00C6589F" w:rsidP="00DA74BA">
      <w:pPr>
        <w:spacing w:line="360" w:lineRule="auto"/>
        <w:jc w:val="both"/>
        <w:rPr>
          <w:rFonts w:ascii="Arial" w:hAnsi="Arial" w:cs="Arial"/>
        </w:rPr>
      </w:pPr>
      <w:r w:rsidRPr="00DA74BA">
        <w:rPr>
          <w:rFonts w:ascii="Arial" w:hAnsi="Arial" w:cs="Arial"/>
        </w:rPr>
        <w:t xml:space="preserve">De igual forma, la Ordenanza 761 de 2011 incluyó dentro de esta excepción a los contratos que celebren los entes territoriales con las </w:t>
      </w:r>
      <w:proofErr w:type="spellStart"/>
      <w:r w:rsidRPr="00DA74BA">
        <w:rPr>
          <w:rFonts w:ascii="Arial" w:hAnsi="Arial" w:cs="Arial"/>
        </w:rPr>
        <w:t>EPS´s</w:t>
      </w:r>
      <w:proofErr w:type="spellEnd"/>
      <w:r w:rsidRPr="00DA74BA">
        <w:rPr>
          <w:rFonts w:ascii="Arial" w:hAnsi="Arial" w:cs="Arial"/>
        </w:rPr>
        <w:t>. En virtud de lo normado, el Consejo Superior de la Universidad de los Llanos expidió el Acuerdo Superior 005 de 2011, donde aprueba la política de administración de los recursos recaudados de la estampilla “Universidad de los Llanos y distribuye los recursos en dos políticas; i) Desarrollo científico en líneas de investigación institucionales, ii) Apertura de nuevos programas y preparación de la región en competitividad y productividad. Adicionalmente para cada política se estableció una estrategia con el res</w:t>
      </w:r>
      <w:r w:rsidR="00DA74BA" w:rsidRPr="00DA74BA">
        <w:rPr>
          <w:rFonts w:ascii="Arial" w:hAnsi="Arial" w:cs="Arial"/>
        </w:rPr>
        <w:t>pectivo porcentaje de inversión</w:t>
      </w:r>
      <w:r w:rsidR="00DA74BA" w:rsidRPr="00DA74BA">
        <w:rPr>
          <w:rStyle w:val="Refdenotaalpie"/>
          <w:rFonts w:ascii="Arial" w:hAnsi="Arial" w:cs="Arial"/>
        </w:rPr>
        <w:footnoteReference w:id="8"/>
      </w:r>
      <w:r w:rsidR="00DA74BA" w:rsidRPr="00DA74BA">
        <w:rPr>
          <w:rFonts w:ascii="Arial" w:hAnsi="Arial" w:cs="Arial"/>
        </w:rPr>
        <w:t>.</w:t>
      </w:r>
    </w:p>
    <w:p w:rsidR="00DA74BA" w:rsidRPr="00DA74BA" w:rsidRDefault="00DA74BA" w:rsidP="00DA74BA">
      <w:pPr>
        <w:spacing w:line="360" w:lineRule="auto"/>
        <w:jc w:val="both"/>
        <w:rPr>
          <w:rFonts w:ascii="Arial" w:hAnsi="Arial" w:cs="Arial"/>
        </w:rPr>
      </w:pPr>
      <w:r w:rsidRPr="00DA74BA">
        <w:rPr>
          <w:rFonts w:ascii="Arial" w:hAnsi="Arial" w:cs="Arial"/>
        </w:rPr>
        <w:lastRenderedPageBreak/>
        <w:t>Entre el 2009 y 2018 (agosto) se ha recaudado la suma de $86 mil millones, según reportó la institución de educación superior, se ajustan a $61 mil millones, en lo concerniente al monto total autorizado ($100 mil millones en precios constantes de 2006), aún queda un remanente de $38 mil millones por recaudar que, a su vez, dependen de factores como el mismo nivel de precios y la dinámica económica del departamento que impulsa el mayor o menor grado de actos económicos sujetos de la estampilla.</w:t>
      </w:r>
    </w:p>
    <w:p w:rsidR="00DA74BA" w:rsidRPr="00DA74BA" w:rsidRDefault="00DA74BA" w:rsidP="00DA74BA">
      <w:pPr>
        <w:spacing w:line="360" w:lineRule="auto"/>
        <w:jc w:val="both"/>
        <w:rPr>
          <w:rFonts w:ascii="Arial" w:hAnsi="Arial" w:cs="Arial"/>
        </w:rPr>
      </w:pPr>
      <w:r w:rsidRPr="00DA74BA">
        <w:rPr>
          <w:rFonts w:ascii="Arial" w:hAnsi="Arial" w:cs="Arial"/>
        </w:rPr>
        <w:t xml:space="preserve">Así las cosas, se hace necesaria la renovación de la estampilla toda vez que cualquier tipo de afectación en las finanzas y rentas propias de la </w:t>
      </w:r>
      <w:proofErr w:type="spellStart"/>
      <w:r w:rsidRPr="00DA74BA">
        <w:rPr>
          <w:rFonts w:ascii="Arial" w:hAnsi="Arial" w:cs="Arial"/>
        </w:rPr>
        <w:t>Unillanos</w:t>
      </w:r>
      <w:proofErr w:type="spellEnd"/>
      <w:r w:rsidRPr="00DA74BA">
        <w:rPr>
          <w:rFonts w:ascii="Arial" w:hAnsi="Arial" w:cs="Arial"/>
        </w:rPr>
        <w:t xml:space="preserve"> generaría un impacto profundo en el nivel de acceso a educación superior no sólo del Meta, sino del resto de los Departamentos como Arauca, Casanare, Vichada y Guaviare, donde todas estas entidades territoriales registran menores niveles de tasa de cobertura. </w:t>
      </w:r>
    </w:p>
    <w:p w:rsidR="00DA74BA" w:rsidRDefault="00DA74BA" w:rsidP="00DA74BA">
      <w:pPr>
        <w:spacing w:line="360" w:lineRule="auto"/>
        <w:jc w:val="both"/>
        <w:rPr>
          <w:rFonts w:ascii="Arial" w:hAnsi="Arial" w:cs="Arial"/>
          <w:lang w:val="es-ES"/>
        </w:rPr>
      </w:pPr>
      <w:r w:rsidRPr="00DA74BA">
        <w:rPr>
          <w:rFonts w:ascii="Arial" w:hAnsi="Arial" w:cs="Arial"/>
        </w:rPr>
        <w:t>Los ingresos adicionales provenientes de la Estampilla tienen por finalidad recaudar recursos que permitan continuar consolidando a la IES como referente para la región y el país, resaltando</w:t>
      </w:r>
      <w:r w:rsidRPr="00DA74BA">
        <w:rPr>
          <w:rFonts w:ascii="Arial" w:hAnsi="Arial" w:cs="Arial"/>
          <w:lang w:val="es-ES"/>
        </w:rPr>
        <w:t xml:space="preserve"> el crecimiento de la demanda. </w:t>
      </w:r>
    </w:p>
    <w:p w:rsidR="00DA74BA" w:rsidRPr="00DA74BA" w:rsidRDefault="00DA74BA" w:rsidP="00DA74BA">
      <w:pPr>
        <w:spacing w:line="360" w:lineRule="auto"/>
        <w:jc w:val="both"/>
        <w:rPr>
          <w:rFonts w:ascii="Arial" w:hAnsi="Arial" w:cs="Arial"/>
          <w:lang w:val="es-ES"/>
        </w:rPr>
      </w:pPr>
      <w:r w:rsidRPr="00DA74BA">
        <w:rPr>
          <w:rFonts w:ascii="Arial" w:hAnsi="Arial" w:cs="Arial"/>
          <w:lang w:val="es-ES"/>
        </w:rPr>
        <w:t xml:space="preserve">Así entonces, el análisis de las necesidades y perspectivas de la educación superior en Villavicencio debe considerar el hecho que, al servir como punto de formación para estudiantes de distintas poblaciones del departamento, la Universidad de los Llanos se viene consolidando de manera firme como un centro de formación de educación superior de la región de la Orinoquía. No obstante, esta tarea no está acabada y requiere del apoyo de una institucionalidad con una fuerte capacidad de gestión de recursos que pueda generar alianzas en todos los niveles, de manera que este sector pueda afianzar sus logros actuales y proyectarse con seguridad en el mediano y largo plazo; objetivo éste que se puede conseguir si se logra que la universidad cuente mayores recursos, como sería a través de la renovación de la estampilla </w:t>
      </w:r>
      <w:r w:rsidRPr="00DA74BA">
        <w:rPr>
          <w:rFonts w:ascii="Arial" w:hAnsi="Arial" w:cs="Arial"/>
        </w:rPr>
        <w:t>“Universidad de los Llanos”.</w:t>
      </w:r>
    </w:p>
    <w:p w:rsidR="00DA74BA" w:rsidRPr="00DA74BA" w:rsidRDefault="00DA74BA" w:rsidP="006E1422">
      <w:pPr>
        <w:adjustRightInd w:val="0"/>
        <w:spacing w:line="240" w:lineRule="auto"/>
        <w:contextualSpacing/>
        <w:jc w:val="both"/>
        <w:textAlignment w:val="center"/>
        <w:rPr>
          <w:rFonts w:ascii="Arial" w:hAnsi="Arial" w:cs="Arial"/>
        </w:rPr>
      </w:pPr>
      <w:r w:rsidRPr="00DA74BA">
        <w:rPr>
          <w:rFonts w:ascii="Arial" w:hAnsi="Arial" w:cs="Arial"/>
        </w:rPr>
        <w:t xml:space="preserve">Cordialmente, </w:t>
      </w:r>
    </w:p>
    <w:p w:rsidR="00DA74BA" w:rsidRPr="00DA74BA" w:rsidRDefault="00DA74BA" w:rsidP="006E1422">
      <w:pPr>
        <w:adjustRightInd w:val="0"/>
        <w:spacing w:line="240" w:lineRule="auto"/>
        <w:contextualSpacing/>
        <w:jc w:val="both"/>
        <w:textAlignment w:val="center"/>
        <w:rPr>
          <w:rFonts w:ascii="Arial" w:hAnsi="Arial" w:cs="Arial"/>
        </w:rPr>
      </w:pPr>
    </w:p>
    <w:p w:rsidR="00DA74BA" w:rsidRPr="00DA74BA" w:rsidRDefault="00DA74BA" w:rsidP="006E1422">
      <w:pPr>
        <w:adjustRightInd w:val="0"/>
        <w:spacing w:line="240" w:lineRule="auto"/>
        <w:contextualSpacing/>
        <w:jc w:val="both"/>
        <w:textAlignment w:val="center"/>
        <w:rPr>
          <w:rFonts w:ascii="Arial" w:hAnsi="Arial" w:cs="Arial"/>
        </w:rPr>
      </w:pPr>
    </w:p>
    <w:p w:rsidR="00DA74BA" w:rsidRPr="00DA74BA" w:rsidRDefault="00DA74BA" w:rsidP="006E1422">
      <w:pPr>
        <w:adjustRightInd w:val="0"/>
        <w:spacing w:line="240" w:lineRule="auto"/>
        <w:contextualSpacing/>
        <w:jc w:val="both"/>
        <w:textAlignment w:val="center"/>
        <w:rPr>
          <w:rFonts w:ascii="Arial" w:hAnsi="Arial" w:cs="Arial"/>
        </w:rPr>
      </w:pPr>
    </w:p>
    <w:p w:rsidR="00DA74BA" w:rsidRPr="00DA74BA" w:rsidRDefault="00DA74BA" w:rsidP="006E1422">
      <w:pPr>
        <w:adjustRightInd w:val="0"/>
        <w:spacing w:line="240" w:lineRule="auto"/>
        <w:contextualSpacing/>
        <w:jc w:val="both"/>
        <w:textAlignment w:val="center"/>
        <w:rPr>
          <w:rFonts w:ascii="Arial" w:hAnsi="Arial" w:cs="Arial"/>
        </w:rPr>
      </w:pPr>
    </w:p>
    <w:p w:rsidR="00DA74BA" w:rsidRPr="00DA74BA" w:rsidRDefault="00DA74BA" w:rsidP="006E1422">
      <w:pPr>
        <w:adjustRightInd w:val="0"/>
        <w:spacing w:line="240" w:lineRule="auto"/>
        <w:contextualSpacing/>
        <w:jc w:val="both"/>
        <w:textAlignment w:val="center"/>
        <w:rPr>
          <w:rFonts w:ascii="Arial" w:hAnsi="Arial" w:cs="Arial"/>
        </w:rPr>
      </w:pPr>
    </w:p>
    <w:p w:rsidR="006E1422" w:rsidRPr="00DA74BA" w:rsidRDefault="006E1422" w:rsidP="006E1422">
      <w:pPr>
        <w:adjustRightInd w:val="0"/>
        <w:spacing w:line="240" w:lineRule="auto"/>
        <w:contextualSpacing/>
        <w:jc w:val="both"/>
        <w:textAlignment w:val="center"/>
        <w:rPr>
          <w:rFonts w:ascii="Arial" w:hAnsi="Arial" w:cs="Arial"/>
          <w:b/>
        </w:rPr>
      </w:pPr>
      <w:r w:rsidRPr="00DA74BA">
        <w:rPr>
          <w:rFonts w:ascii="Arial" w:hAnsi="Arial" w:cs="Arial"/>
          <w:b/>
        </w:rPr>
        <w:t xml:space="preserve">JAIME RODRIGUEZ CONTRERAS </w:t>
      </w:r>
      <w:r w:rsidRPr="00DA74BA">
        <w:rPr>
          <w:rFonts w:ascii="Arial" w:hAnsi="Arial" w:cs="Arial"/>
          <w:b/>
        </w:rPr>
        <w:tab/>
        <w:t xml:space="preserve"> </w:t>
      </w:r>
    </w:p>
    <w:p w:rsidR="006E1422" w:rsidRPr="00DA74BA" w:rsidRDefault="006E1422" w:rsidP="006E1422">
      <w:pPr>
        <w:adjustRightInd w:val="0"/>
        <w:spacing w:line="240" w:lineRule="auto"/>
        <w:contextualSpacing/>
        <w:jc w:val="both"/>
        <w:textAlignment w:val="center"/>
        <w:rPr>
          <w:rFonts w:ascii="Arial" w:hAnsi="Arial" w:cs="Arial"/>
        </w:rPr>
      </w:pPr>
      <w:r w:rsidRPr="00DA74BA">
        <w:rPr>
          <w:rFonts w:ascii="Arial" w:hAnsi="Arial" w:cs="Arial"/>
        </w:rPr>
        <w:t>Representante a la Cámara</w:t>
      </w:r>
      <w:r w:rsidRPr="00DA74BA">
        <w:rPr>
          <w:rFonts w:ascii="Arial" w:hAnsi="Arial" w:cs="Arial"/>
        </w:rPr>
        <w:tab/>
      </w:r>
      <w:r w:rsidRPr="00DA74BA">
        <w:rPr>
          <w:rFonts w:ascii="Arial" w:hAnsi="Arial" w:cs="Arial"/>
        </w:rPr>
        <w:tab/>
      </w:r>
      <w:r w:rsidRPr="00DA74BA">
        <w:rPr>
          <w:rFonts w:ascii="Arial" w:hAnsi="Arial" w:cs="Arial"/>
        </w:rPr>
        <w:tab/>
      </w:r>
    </w:p>
    <w:p w:rsidR="0099219C" w:rsidRPr="00DA74BA" w:rsidRDefault="006E1422" w:rsidP="00774E9A">
      <w:pPr>
        <w:adjustRightInd w:val="0"/>
        <w:spacing w:line="240" w:lineRule="auto"/>
        <w:contextualSpacing/>
        <w:jc w:val="both"/>
        <w:textAlignment w:val="center"/>
        <w:rPr>
          <w:rFonts w:ascii="Arial" w:hAnsi="Arial" w:cs="Arial"/>
        </w:rPr>
      </w:pPr>
      <w:r w:rsidRPr="00DA74BA">
        <w:rPr>
          <w:rFonts w:ascii="Arial" w:hAnsi="Arial" w:cs="Arial"/>
        </w:rPr>
        <w:t>Departamento de Meta</w:t>
      </w:r>
    </w:p>
    <w:sectPr w:rsidR="0099219C" w:rsidRPr="00DA74BA">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5DF0" w:rsidRDefault="00D55DF0" w:rsidP="00EA0AD2">
      <w:pPr>
        <w:spacing w:after="0" w:line="240" w:lineRule="auto"/>
      </w:pPr>
      <w:r>
        <w:separator/>
      </w:r>
    </w:p>
  </w:endnote>
  <w:endnote w:type="continuationSeparator" w:id="0">
    <w:p w:rsidR="00D55DF0" w:rsidRDefault="00D55DF0" w:rsidP="00EA0A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5DF0" w:rsidRDefault="00D55DF0" w:rsidP="00EA0AD2">
      <w:pPr>
        <w:spacing w:after="0" w:line="240" w:lineRule="auto"/>
      </w:pPr>
      <w:r>
        <w:separator/>
      </w:r>
    </w:p>
  </w:footnote>
  <w:footnote w:type="continuationSeparator" w:id="0">
    <w:p w:rsidR="00D55DF0" w:rsidRDefault="00D55DF0" w:rsidP="00EA0AD2">
      <w:pPr>
        <w:spacing w:after="0" w:line="240" w:lineRule="auto"/>
      </w:pPr>
      <w:r>
        <w:continuationSeparator/>
      </w:r>
    </w:p>
  </w:footnote>
  <w:footnote w:id="1">
    <w:p w:rsidR="00DA74BA" w:rsidRPr="00892AB6" w:rsidRDefault="00DA74BA" w:rsidP="00DA74BA">
      <w:pPr>
        <w:pStyle w:val="Textonotapie"/>
        <w:jc w:val="both"/>
        <w:rPr>
          <w:rFonts w:ascii="Arial" w:hAnsi="Arial" w:cs="Arial"/>
          <w:sz w:val="18"/>
          <w:szCs w:val="18"/>
        </w:rPr>
      </w:pPr>
      <w:r w:rsidRPr="00892AB6">
        <w:rPr>
          <w:rStyle w:val="Refdenotaalpie"/>
          <w:rFonts w:ascii="Arial" w:hAnsi="Arial" w:cs="Arial"/>
          <w:sz w:val="18"/>
          <w:szCs w:val="18"/>
        </w:rPr>
        <w:footnoteRef/>
      </w:r>
      <w:r w:rsidRPr="004A7730">
        <w:rPr>
          <w:rFonts w:ascii="Arial" w:hAnsi="Arial" w:cs="Arial"/>
          <w:sz w:val="18"/>
          <w:szCs w:val="18"/>
        </w:rPr>
        <w:t xml:space="preserve"> </w:t>
      </w:r>
      <w:r w:rsidRPr="00892AB6">
        <w:rPr>
          <w:rFonts w:ascii="Arial" w:hAnsi="Arial" w:cs="Arial"/>
          <w:sz w:val="18"/>
          <w:szCs w:val="18"/>
        </w:rPr>
        <w:t xml:space="preserve">Fuente: Elaboración propia con datos del Ministerio de Educación Nacional e información tomada de </w:t>
      </w:r>
      <w:hyperlink r:id="rId1" w:history="1">
        <w:r w:rsidRPr="00E05EE7">
          <w:rPr>
            <w:rStyle w:val="Hipervnculo"/>
            <w:rFonts w:ascii="Arial" w:hAnsi="Arial" w:cs="Arial"/>
            <w:sz w:val="18"/>
            <w:szCs w:val="18"/>
          </w:rPr>
          <w:t>https://www.datos.gov.co/Educaci-n/MEN_ESTADISTICAS-MATRICULA-POR-MUNICIPIOS_ES/y9ga-zwzy</w:t>
        </w:r>
      </w:hyperlink>
      <w:r w:rsidRPr="00892AB6">
        <w:rPr>
          <w:rFonts w:ascii="Arial" w:hAnsi="Arial" w:cs="Arial"/>
          <w:sz w:val="18"/>
          <w:szCs w:val="18"/>
        </w:rPr>
        <w:t xml:space="preserve"> </w:t>
      </w:r>
    </w:p>
  </w:footnote>
  <w:footnote w:id="2">
    <w:p w:rsidR="00DA74BA" w:rsidRPr="00231A5E" w:rsidRDefault="00DA74BA" w:rsidP="00DA74BA">
      <w:pPr>
        <w:pStyle w:val="Textonotapie"/>
        <w:rPr>
          <w:sz w:val="22"/>
          <w:szCs w:val="22"/>
        </w:rPr>
      </w:pPr>
      <w:r w:rsidRPr="00892AB6">
        <w:rPr>
          <w:rStyle w:val="Refdenotaalpie"/>
          <w:rFonts w:ascii="Arial" w:hAnsi="Arial" w:cs="Arial"/>
          <w:sz w:val="18"/>
          <w:szCs w:val="18"/>
        </w:rPr>
        <w:footnoteRef/>
      </w:r>
      <w:r w:rsidRPr="004A7730">
        <w:rPr>
          <w:rFonts w:ascii="Arial" w:hAnsi="Arial" w:cs="Arial"/>
          <w:sz w:val="18"/>
          <w:szCs w:val="18"/>
        </w:rPr>
        <w:t xml:space="preserve"> </w:t>
      </w:r>
      <w:r w:rsidRPr="00892AB6">
        <w:rPr>
          <w:rFonts w:ascii="Arial" w:hAnsi="Arial" w:cs="Arial"/>
          <w:sz w:val="18"/>
          <w:szCs w:val="18"/>
        </w:rPr>
        <w:t xml:space="preserve">Fuente: </w:t>
      </w:r>
      <w:proofErr w:type="spellStart"/>
      <w:r w:rsidRPr="00892AB6">
        <w:rPr>
          <w:rFonts w:ascii="Arial" w:hAnsi="Arial" w:cs="Arial"/>
          <w:sz w:val="18"/>
          <w:szCs w:val="18"/>
        </w:rPr>
        <w:t>Ibidem</w:t>
      </w:r>
      <w:proofErr w:type="spellEnd"/>
      <w:r w:rsidRPr="00892AB6">
        <w:rPr>
          <w:rFonts w:ascii="Arial" w:hAnsi="Arial" w:cs="Arial"/>
          <w:sz w:val="18"/>
          <w:szCs w:val="18"/>
        </w:rPr>
        <w:t>.</w:t>
      </w:r>
    </w:p>
  </w:footnote>
  <w:footnote w:id="3">
    <w:p w:rsidR="00DA74BA" w:rsidRPr="004A7730" w:rsidRDefault="00DA74BA" w:rsidP="00DA74BA">
      <w:pPr>
        <w:pStyle w:val="Textonotapie"/>
        <w:jc w:val="both"/>
        <w:rPr>
          <w:rFonts w:ascii="Arial" w:hAnsi="Arial" w:cs="Arial"/>
          <w:sz w:val="18"/>
          <w:szCs w:val="18"/>
        </w:rPr>
      </w:pPr>
      <w:r w:rsidRPr="00892AB6">
        <w:rPr>
          <w:rStyle w:val="Refdenotaalpie"/>
          <w:rFonts w:ascii="Arial" w:hAnsi="Arial" w:cs="Arial"/>
          <w:sz w:val="18"/>
          <w:szCs w:val="18"/>
        </w:rPr>
        <w:footnoteRef/>
      </w:r>
      <w:r w:rsidRPr="004A7730">
        <w:rPr>
          <w:rFonts w:ascii="Arial" w:hAnsi="Arial" w:cs="Arial"/>
          <w:sz w:val="18"/>
          <w:szCs w:val="18"/>
        </w:rPr>
        <w:t xml:space="preserve"> </w:t>
      </w:r>
      <w:r w:rsidRPr="00892AB6">
        <w:rPr>
          <w:rFonts w:ascii="Arial" w:hAnsi="Arial" w:cs="Arial"/>
          <w:sz w:val="18"/>
          <w:szCs w:val="18"/>
        </w:rPr>
        <w:t xml:space="preserve">Fuente: Elaboración propia con datos del Ministerio de Educación Nacional e información tomada de </w:t>
      </w:r>
      <w:hyperlink r:id="rId2" w:history="1">
        <w:r w:rsidRPr="00E05EE7">
          <w:rPr>
            <w:rStyle w:val="Hipervnculo"/>
            <w:rFonts w:ascii="Arial" w:hAnsi="Arial" w:cs="Arial"/>
            <w:sz w:val="18"/>
            <w:szCs w:val="18"/>
          </w:rPr>
          <w:t>https://www.datos.gov.co/Educaci-n/MEN_ESTADISTICAS-MATRICULA-POR-MUNICIPIOS_ES/y9ga-zwzy</w:t>
        </w:r>
      </w:hyperlink>
    </w:p>
  </w:footnote>
  <w:footnote w:id="4">
    <w:p w:rsidR="00DA74BA" w:rsidRPr="004A7730" w:rsidRDefault="00DA74BA" w:rsidP="00DA74BA">
      <w:pPr>
        <w:pStyle w:val="Textonotapie"/>
        <w:jc w:val="both"/>
        <w:rPr>
          <w:rFonts w:ascii="Arial" w:hAnsi="Arial" w:cs="Arial"/>
          <w:sz w:val="18"/>
          <w:szCs w:val="18"/>
        </w:rPr>
      </w:pPr>
      <w:r w:rsidRPr="00892AB6">
        <w:rPr>
          <w:rStyle w:val="Refdenotaalpie"/>
          <w:rFonts w:ascii="Arial" w:hAnsi="Arial" w:cs="Arial"/>
          <w:sz w:val="18"/>
          <w:szCs w:val="18"/>
        </w:rPr>
        <w:footnoteRef/>
      </w:r>
      <w:r w:rsidRPr="004A7730">
        <w:rPr>
          <w:rFonts w:ascii="Arial" w:hAnsi="Arial" w:cs="Arial"/>
          <w:sz w:val="18"/>
          <w:szCs w:val="18"/>
        </w:rPr>
        <w:t xml:space="preserve"> </w:t>
      </w:r>
      <w:r w:rsidRPr="00892AB6">
        <w:rPr>
          <w:rFonts w:ascii="Arial" w:hAnsi="Arial" w:cs="Arial"/>
          <w:sz w:val="18"/>
          <w:szCs w:val="18"/>
        </w:rPr>
        <w:t xml:space="preserve">Fuente: Elaboración propia con datos del Ministerio de Educación Nacional e información tomada de </w:t>
      </w:r>
      <w:hyperlink r:id="rId3" w:history="1">
        <w:r w:rsidRPr="00E05EE7">
          <w:rPr>
            <w:rStyle w:val="Hipervnculo"/>
            <w:rFonts w:ascii="Arial" w:hAnsi="Arial" w:cs="Arial"/>
            <w:sz w:val="18"/>
            <w:szCs w:val="18"/>
          </w:rPr>
          <w:t>https://www.datos.gov.co/Educaci-n/MEN_ESTADISTICAS-MATRICULA-POR-MUNICIPIOS_ES/y9ga-zwzy</w:t>
        </w:r>
      </w:hyperlink>
    </w:p>
  </w:footnote>
  <w:footnote w:id="5">
    <w:p w:rsidR="00DA74BA" w:rsidRPr="004A7730" w:rsidRDefault="00DA74BA" w:rsidP="00DA74BA">
      <w:pPr>
        <w:pStyle w:val="Textonotapie"/>
        <w:jc w:val="both"/>
        <w:rPr>
          <w:rFonts w:ascii="Arial" w:hAnsi="Arial" w:cs="Arial"/>
          <w:sz w:val="18"/>
          <w:szCs w:val="18"/>
        </w:rPr>
      </w:pPr>
      <w:r w:rsidRPr="00892AB6">
        <w:rPr>
          <w:rStyle w:val="Refdenotaalpie"/>
          <w:rFonts w:ascii="Arial" w:hAnsi="Arial" w:cs="Arial"/>
          <w:sz w:val="18"/>
          <w:szCs w:val="18"/>
        </w:rPr>
        <w:footnoteRef/>
      </w:r>
      <w:r w:rsidRPr="004A7730">
        <w:rPr>
          <w:rFonts w:ascii="Arial" w:hAnsi="Arial" w:cs="Arial"/>
          <w:sz w:val="18"/>
          <w:szCs w:val="18"/>
        </w:rPr>
        <w:t xml:space="preserve"> </w:t>
      </w:r>
      <w:r w:rsidRPr="00892AB6">
        <w:rPr>
          <w:rFonts w:ascii="Arial" w:hAnsi="Arial" w:cs="Arial"/>
          <w:sz w:val="18"/>
          <w:szCs w:val="18"/>
        </w:rPr>
        <w:t xml:space="preserve">Fuente: Elaboración propia con datos del Ministerio de Educación Nacional e información tomada de </w:t>
      </w:r>
      <w:hyperlink r:id="rId4" w:history="1">
        <w:r w:rsidRPr="00E05EE7">
          <w:rPr>
            <w:rStyle w:val="Hipervnculo"/>
            <w:rFonts w:ascii="Arial" w:hAnsi="Arial" w:cs="Arial"/>
            <w:sz w:val="18"/>
            <w:szCs w:val="18"/>
          </w:rPr>
          <w:t>https://www.datos.gov.co/Educaci-n/MEN_ESTADISTICAS-MATRICULA-POR-MUNICIPIOS_ES/y9ga-zwzy</w:t>
        </w:r>
      </w:hyperlink>
    </w:p>
  </w:footnote>
  <w:footnote w:id="6">
    <w:p w:rsidR="00DA74BA" w:rsidRPr="0059502F" w:rsidRDefault="00DA74BA" w:rsidP="00DA74BA">
      <w:pPr>
        <w:pStyle w:val="Textonotapie"/>
        <w:jc w:val="both"/>
        <w:rPr>
          <w:rFonts w:ascii="Arial" w:hAnsi="Arial" w:cs="Arial"/>
          <w:sz w:val="22"/>
          <w:szCs w:val="22"/>
        </w:rPr>
      </w:pPr>
      <w:r w:rsidRPr="00892AB6">
        <w:rPr>
          <w:rStyle w:val="Refdenotaalpie"/>
          <w:rFonts w:ascii="Arial" w:hAnsi="Arial" w:cs="Arial"/>
          <w:sz w:val="18"/>
          <w:szCs w:val="18"/>
        </w:rPr>
        <w:footnoteRef/>
      </w:r>
      <w:r w:rsidRPr="00892AB6">
        <w:rPr>
          <w:rFonts w:ascii="Arial" w:hAnsi="Arial" w:cs="Arial"/>
          <w:sz w:val="18"/>
          <w:szCs w:val="18"/>
        </w:rPr>
        <w:t xml:space="preserve"> Cfr. </w:t>
      </w:r>
      <w:hyperlink r:id="rId5" w:history="1">
        <w:r w:rsidRPr="00892AB6">
          <w:rPr>
            <w:rStyle w:val="Hipervnculo"/>
            <w:rFonts w:ascii="Arial" w:hAnsi="Arial" w:cs="Arial"/>
            <w:sz w:val="18"/>
            <w:szCs w:val="18"/>
          </w:rPr>
          <w:t>https://semanarural.com/web/articulo/educacion-superior-en-el-meta-las-dificultades-para-que-jovenes-rurales-ingresen/320</w:t>
        </w:r>
      </w:hyperlink>
    </w:p>
  </w:footnote>
  <w:footnote w:id="7">
    <w:p w:rsidR="00DA74BA" w:rsidRDefault="00DA74BA">
      <w:pPr>
        <w:pStyle w:val="Textonotapie"/>
      </w:pPr>
      <w:r>
        <w:rPr>
          <w:rStyle w:val="Refdenotaalpie"/>
        </w:rPr>
        <w:footnoteRef/>
      </w:r>
      <w:r>
        <w:t xml:space="preserve"> Fuente: Página de la Universidad de los Llanos.</w:t>
      </w:r>
    </w:p>
  </w:footnote>
  <w:footnote w:id="8">
    <w:p w:rsidR="00DA74BA" w:rsidRDefault="00DA74BA">
      <w:pPr>
        <w:pStyle w:val="Textonotapie"/>
      </w:pPr>
      <w:r>
        <w:rPr>
          <w:rStyle w:val="Refdenotaalpie"/>
        </w:rPr>
        <w:footnoteRef/>
      </w:r>
      <w:r>
        <w:t xml:space="preserve"> Fuente: Contraloría Departamental del Meta. Informe Definitivo Vigencia 2012-2013</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47816"/>
    <w:multiLevelType w:val="hybridMultilevel"/>
    <w:tmpl w:val="D138CE28"/>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8A50E46"/>
    <w:multiLevelType w:val="hybridMultilevel"/>
    <w:tmpl w:val="1A3CB98E"/>
    <w:lvl w:ilvl="0" w:tplc="B87E4D9E">
      <w:start w:val="3"/>
      <w:numFmt w:val="bullet"/>
      <w:lvlText w:val="-"/>
      <w:lvlJc w:val="left"/>
      <w:pPr>
        <w:ind w:left="720" w:hanging="360"/>
      </w:pPr>
      <w:rPr>
        <w:rFonts w:ascii="Arial" w:eastAsiaTheme="minorHAnsi"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13C5B48"/>
    <w:multiLevelType w:val="hybridMultilevel"/>
    <w:tmpl w:val="102E213C"/>
    <w:lvl w:ilvl="0" w:tplc="868A0598">
      <w:start w:val="1"/>
      <w:numFmt w:val="upperRoman"/>
      <w:lvlText w:val="%1."/>
      <w:lvlJc w:val="left"/>
      <w:pPr>
        <w:ind w:left="1080" w:hanging="72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425A2698"/>
    <w:multiLevelType w:val="hybridMultilevel"/>
    <w:tmpl w:val="8FA8C2C0"/>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4" w15:restartNumberingAfterBreak="0">
    <w:nsid w:val="426A22F9"/>
    <w:multiLevelType w:val="hybridMultilevel"/>
    <w:tmpl w:val="E84C6BF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Times New Roman"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Times New Roman"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Times New Roman"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71A93023"/>
    <w:multiLevelType w:val="hybridMultilevel"/>
    <w:tmpl w:val="DD3E3246"/>
    <w:lvl w:ilvl="0" w:tplc="97AADD6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74A106D7"/>
    <w:multiLevelType w:val="multilevel"/>
    <w:tmpl w:val="B95EB8DC"/>
    <w:lvl w:ilvl="0">
      <w:start w:val="1"/>
      <w:numFmt w:val="decimal"/>
      <w:lvlText w:val="%1."/>
      <w:lvlJc w:val="left"/>
      <w:pPr>
        <w:ind w:left="720" w:hanging="360"/>
      </w:pPr>
      <w:rPr>
        <w:rFonts w:eastAsia="Calibri" w:hint="default"/>
      </w:rPr>
    </w:lvl>
    <w:lvl w:ilvl="1">
      <w:start w:val="1"/>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5"/>
  </w:num>
  <w:num w:numId="3">
    <w:abstractNumId w:val="6"/>
  </w:num>
  <w:num w:numId="4">
    <w:abstractNumId w:val="2"/>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862"/>
    <w:rsid w:val="0001027A"/>
    <w:rsid w:val="00051728"/>
    <w:rsid w:val="001536F5"/>
    <w:rsid w:val="00182B84"/>
    <w:rsid w:val="001965CD"/>
    <w:rsid w:val="001A38F7"/>
    <w:rsid w:val="001B3C07"/>
    <w:rsid w:val="001B50C1"/>
    <w:rsid w:val="00206470"/>
    <w:rsid w:val="002212C1"/>
    <w:rsid w:val="002A6D0D"/>
    <w:rsid w:val="002E6311"/>
    <w:rsid w:val="002F2400"/>
    <w:rsid w:val="003113CE"/>
    <w:rsid w:val="00352FBC"/>
    <w:rsid w:val="003628AA"/>
    <w:rsid w:val="0037431B"/>
    <w:rsid w:val="003D474D"/>
    <w:rsid w:val="003F69C5"/>
    <w:rsid w:val="00410109"/>
    <w:rsid w:val="004621E0"/>
    <w:rsid w:val="0049371C"/>
    <w:rsid w:val="004B07ED"/>
    <w:rsid w:val="004D6FBB"/>
    <w:rsid w:val="004E7F27"/>
    <w:rsid w:val="004F429C"/>
    <w:rsid w:val="00563F4F"/>
    <w:rsid w:val="00576DF5"/>
    <w:rsid w:val="005942EC"/>
    <w:rsid w:val="00596AC8"/>
    <w:rsid w:val="00603FBC"/>
    <w:rsid w:val="00611FDA"/>
    <w:rsid w:val="006137CD"/>
    <w:rsid w:val="00631378"/>
    <w:rsid w:val="00661E2B"/>
    <w:rsid w:val="00667246"/>
    <w:rsid w:val="00672148"/>
    <w:rsid w:val="006E1422"/>
    <w:rsid w:val="007226FD"/>
    <w:rsid w:val="00741872"/>
    <w:rsid w:val="00773B1E"/>
    <w:rsid w:val="00774E9A"/>
    <w:rsid w:val="007957DF"/>
    <w:rsid w:val="007F783D"/>
    <w:rsid w:val="008124F2"/>
    <w:rsid w:val="00830BCD"/>
    <w:rsid w:val="00830D97"/>
    <w:rsid w:val="00832FDB"/>
    <w:rsid w:val="008373B7"/>
    <w:rsid w:val="00847305"/>
    <w:rsid w:val="0086544B"/>
    <w:rsid w:val="008702AC"/>
    <w:rsid w:val="008B1A5C"/>
    <w:rsid w:val="008B44AE"/>
    <w:rsid w:val="008D1797"/>
    <w:rsid w:val="008D2442"/>
    <w:rsid w:val="008E5492"/>
    <w:rsid w:val="008F0F1A"/>
    <w:rsid w:val="00907B86"/>
    <w:rsid w:val="00913016"/>
    <w:rsid w:val="00934761"/>
    <w:rsid w:val="00966DEC"/>
    <w:rsid w:val="00976510"/>
    <w:rsid w:val="00990F67"/>
    <w:rsid w:val="0099219C"/>
    <w:rsid w:val="009A55E2"/>
    <w:rsid w:val="009B4686"/>
    <w:rsid w:val="009E3D9B"/>
    <w:rsid w:val="009F38E6"/>
    <w:rsid w:val="00A15B61"/>
    <w:rsid w:val="00A369DC"/>
    <w:rsid w:val="00A64D77"/>
    <w:rsid w:val="00AA4D1B"/>
    <w:rsid w:val="00AD7741"/>
    <w:rsid w:val="00B25FC2"/>
    <w:rsid w:val="00BA4CEC"/>
    <w:rsid w:val="00C122DF"/>
    <w:rsid w:val="00C17221"/>
    <w:rsid w:val="00C2765F"/>
    <w:rsid w:val="00C6589F"/>
    <w:rsid w:val="00CA4862"/>
    <w:rsid w:val="00CC0C69"/>
    <w:rsid w:val="00CD51AF"/>
    <w:rsid w:val="00CF33E6"/>
    <w:rsid w:val="00D03DD2"/>
    <w:rsid w:val="00D21ECB"/>
    <w:rsid w:val="00D55DF0"/>
    <w:rsid w:val="00D76862"/>
    <w:rsid w:val="00DA74BA"/>
    <w:rsid w:val="00DE15B0"/>
    <w:rsid w:val="00E06B0F"/>
    <w:rsid w:val="00E52FF1"/>
    <w:rsid w:val="00E74A1D"/>
    <w:rsid w:val="00E85F12"/>
    <w:rsid w:val="00E8654B"/>
    <w:rsid w:val="00EA0AD2"/>
    <w:rsid w:val="00ED3A7C"/>
    <w:rsid w:val="00ED6EDA"/>
    <w:rsid w:val="00F022DA"/>
    <w:rsid w:val="00F02774"/>
    <w:rsid w:val="00F04BFB"/>
    <w:rsid w:val="00F04DA8"/>
    <w:rsid w:val="00F45665"/>
    <w:rsid w:val="00FA2989"/>
    <w:rsid w:val="00FC01BF"/>
    <w:rsid w:val="00FE2FA3"/>
    <w:rsid w:val="00FF6A5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A36C3"/>
  <w15:chartTrackingRefBased/>
  <w15:docId w15:val="{D2CC6934-B09B-4DD3-92CC-1A49563D6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862"/>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CA4862"/>
    <w:pPr>
      <w:spacing w:after="160" w:line="259" w:lineRule="auto"/>
      <w:ind w:left="720"/>
      <w:contextualSpacing/>
    </w:pPr>
  </w:style>
  <w:style w:type="paragraph" w:styleId="Sinespaciado">
    <w:name w:val="No Spacing"/>
    <w:uiPriority w:val="1"/>
    <w:qFormat/>
    <w:rsid w:val="00CA4862"/>
    <w:pPr>
      <w:spacing w:after="0" w:line="240" w:lineRule="auto"/>
    </w:pPr>
  </w:style>
  <w:style w:type="character" w:customStyle="1" w:styleId="PrrafodelistaCar">
    <w:name w:val="Párrafo de lista Car"/>
    <w:link w:val="Prrafodelista"/>
    <w:uiPriority w:val="34"/>
    <w:locked/>
    <w:rsid w:val="00CA4862"/>
  </w:style>
  <w:style w:type="paragraph" w:styleId="NormalWeb">
    <w:name w:val="Normal (Web)"/>
    <w:basedOn w:val="Normal"/>
    <w:uiPriority w:val="99"/>
    <w:unhideWhenUsed/>
    <w:rsid w:val="00E85F12"/>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notapie">
    <w:name w:val="footnote text"/>
    <w:aliases w:val="Ref. de nota al pie1,Texto de nota al pie,Footnotes refss,Appel note de bas de page,referencia nota al pie,Footnote number,BVI fnr,Nota de pie,Texto nota al pie,4_G,16 Point,Superscript 6 Point,Footnote Reference Char3,R"/>
    <w:basedOn w:val="Normal"/>
    <w:link w:val="TextonotapieCar"/>
    <w:uiPriority w:val="99"/>
    <w:unhideWhenUsed/>
    <w:rsid w:val="008E5492"/>
    <w:pPr>
      <w:spacing w:after="0" w:line="240" w:lineRule="auto"/>
    </w:pPr>
    <w:rPr>
      <w:sz w:val="20"/>
      <w:szCs w:val="20"/>
    </w:rPr>
  </w:style>
  <w:style w:type="character" w:customStyle="1" w:styleId="TextonotapieCar">
    <w:name w:val="Texto nota pie Car"/>
    <w:aliases w:val="Ref. de nota al pie1 Car,Texto de nota al pie Car,Footnotes refss Car,Appel note de bas de page Car,referencia nota al pie Car,Footnote number Car,BVI fnr Car,Nota de pie Car,Texto nota al pie Car,4_G Car,16 Point Car,R Car"/>
    <w:basedOn w:val="Fuentedeprrafopredeter"/>
    <w:link w:val="Textonotapie"/>
    <w:uiPriority w:val="99"/>
    <w:rsid w:val="008E5492"/>
    <w:rPr>
      <w:sz w:val="20"/>
      <w:szCs w:val="20"/>
    </w:rPr>
  </w:style>
  <w:style w:type="character" w:styleId="Refdenotaalpie">
    <w:name w:val="footnote reference"/>
    <w:basedOn w:val="Fuentedeprrafopredeter"/>
    <w:uiPriority w:val="99"/>
    <w:unhideWhenUsed/>
    <w:rsid w:val="008E5492"/>
    <w:rPr>
      <w:vertAlign w:val="superscript"/>
    </w:rPr>
  </w:style>
  <w:style w:type="paragraph" w:styleId="Textodeglobo">
    <w:name w:val="Balloon Text"/>
    <w:basedOn w:val="Normal"/>
    <w:link w:val="TextodegloboCar"/>
    <w:uiPriority w:val="99"/>
    <w:semiHidden/>
    <w:unhideWhenUsed/>
    <w:rsid w:val="001B50C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B50C1"/>
    <w:rPr>
      <w:rFonts w:ascii="Segoe UI" w:hAnsi="Segoe UI" w:cs="Segoe UI"/>
      <w:sz w:val="18"/>
      <w:szCs w:val="18"/>
    </w:rPr>
  </w:style>
  <w:style w:type="paragraph" w:customStyle="1" w:styleId="CM6">
    <w:name w:val="CM6"/>
    <w:basedOn w:val="Normal"/>
    <w:next w:val="Normal"/>
    <w:uiPriority w:val="99"/>
    <w:rsid w:val="007F783D"/>
    <w:pPr>
      <w:autoSpaceDE w:val="0"/>
      <w:autoSpaceDN w:val="0"/>
      <w:adjustRightInd w:val="0"/>
      <w:spacing w:after="0" w:line="240" w:lineRule="auto"/>
    </w:pPr>
    <w:rPr>
      <w:rFonts w:ascii="Georgia" w:hAnsi="Georgia"/>
      <w:sz w:val="24"/>
      <w:szCs w:val="24"/>
    </w:rPr>
  </w:style>
  <w:style w:type="character" w:customStyle="1" w:styleId="ms-rtestyle-textonormal">
    <w:name w:val="ms-rtestyle-texto_normal"/>
    <w:basedOn w:val="Fuentedeprrafopredeter"/>
    <w:rsid w:val="00BA4CEC"/>
  </w:style>
  <w:style w:type="character" w:customStyle="1" w:styleId="ms-rtestyle-subtitulo">
    <w:name w:val="ms-rtestyle-subtitulo"/>
    <w:basedOn w:val="Fuentedeprrafopredeter"/>
    <w:rsid w:val="00BA4CEC"/>
  </w:style>
  <w:style w:type="character" w:styleId="Textoennegrita">
    <w:name w:val="Strong"/>
    <w:basedOn w:val="Fuentedeprrafopredeter"/>
    <w:uiPriority w:val="22"/>
    <w:qFormat/>
    <w:rsid w:val="00BA4CEC"/>
    <w:rPr>
      <w:b/>
      <w:bCs/>
    </w:rPr>
  </w:style>
  <w:style w:type="character" w:styleId="Hipervnculo">
    <w:name w:val="Hyperlink"/>
    <w:uiPriority w:val="99"/>
    <w:unhideWhenUsed/>
    <w:rsid w:val="00DA74BA"/>
    <w:rPr>
      <w:color w:val="0000FF"/>
      <w:u w:val="single"/>
    </w:rPr>
  </w:style>
  <w:style w:type="paragraph" w:styleId="Textonotaalfinal">
    <w:name w:val="endnote text"/>
    <w:basedOn w:val="Normal"/>
    <w:link w:val="TextonotaalfinalCar"/>
    <w:uiPriority w:val="99"/>
    <w:semiHidden/>
    <w:unhideWhenUsed/>
    <w:rsid w:val="00DA74BA"/>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A74BA"/>
    <w:rPr>
      <w:sz w:val="20"/>
      <w:szCs w:val="20"/>
    </w:rPr>
  </w:style>
  <w:style w:type="character" w:styleId="Refdenotaalfinal">
    <w:name w:val="endnote reference"/>
    <w:basedOn w:val="Fuentedeprrafopredeter"/>
    <w:uiPriority w:val="99"/>
    <w:semiHidden/>
    <w:unhideWhenUsed/>
    <w:rsid w:val="00DA74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039491">
      <w:bodyDiv w:val="1"/>
      <w:marLeft w:val="0"/>
      <w:marRight w:val="0"/>
      <w:marTop w:val="0"/>
      <w:marBottom w:val="0"/>
      <w:divBdr>
        <w:top w:val="none" w:sz="0" w:space="0" w:color="auto"/>
        <w:left w:val="none" w:sz="0" w:space="0" w:color="auto"/>
        <w:bottom w:val="none" w:sz="0" w:space="0" w:color="auto"/>
        <w:right w:val="none" w:sz="0" w:space="0" w:color="auto"/>
      </w:divBdr>
    </w:div>
    <w:div w:id="355736936">
      <w:bodyDiv w:val="1"/>
      <w:marLeft w:val="0"/>
      <w:marRight w:val="0"/>
      <w:marTop w:val="0"/>
      <w:marBottom w:val="0"/>
      <w:divBdr>
        <w:top w:val="none" w:sz="0" w:space="0" w:color="auto"/>
        <w:left w:val="none" w:sz="0" w:space="0" w:color="auto"/>
        <w:bottom w:val="none" w:sz="0" w:space="0" w:color="auto"/>
        <w:right w:val="none" w:sz="0" w:space="0" w:color="auto"/>
      </w:divBdr>
      <w:divsChild>
        <w:div w:id="874540701">
          <w:marLeft w:val="0"/>
          <w:marRight w:val="0"/>
          <w:marTop w:val="0"/>
          <w:marBottom w:val="0"/>
          <w:divBdr>
            <w:top w:val="none" w:sz="0" w:space="0" w:color="auto"/>
            <w:left w:val="none" w:sz="0" w:space="0" w:color="auto"/>
            <w:bottom w:val="none" w:sz="0" w:space="0" w:color="auto"/>
            <w:right w:val="none" w:sz="0" w:space="0" w:color="auto"/>
          </w:divBdr>
          <w:divsChild>
            <w:div w:id="1203517302">
              <w:marLeft w:val="0"/>
              <w:marRight w:val="0"/>
              <w:marTop w:val="0"/>
              <w:marBottom w:val="0"/>
              <w:divBdr>
                <w:top w:val="none" w:sz="0" w:space="0" w:color="auto"/>
                <w:left w:val="none" w:sz="0" w:space="0" w:color="auto"/>
                <w:bottom w:val="none" w:sz="0" w:space="0" w:color="auto"/>
                <w:right w:val="none" w:sz="0" w:space="0" w:color="auto"/>
              </w:divBdr>
              <w:divsChild>
                <w:div w:id="987972538">
                  <w:marLeft w:val="0"/>
                  <w:marRight w:val="0"/>
                  <w:marTop w:val="0"/>
                  <w:marBottom w:val="0"/>
                  <w:divBdr>
                    <w:top w:val="none" w:sz="0" w:space="0" w:color="auto"/>
                    <w:left w:val="none" w:sz="0" w:space="0" w:color="auto"/>
                    <w:bottom w:val="none" w:sz="0" w:space="0" w:color="auto"/>
                    <w:right w:val="none" w:sz="0" w:space="0" w:color="auto"/>
                  </w:divBdr>
                  <w:divsChild>
                    <w:div w:id="57917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628444">
      <w:bodyDiv w:val="1"/>
      <w:marLeft w:val="0"/>
      <w:marRight w:val="0"/>
      <w:marTop w:val="0"/>
      <w:marBottom w:val="0"/>
      <w:divBdr>
        <w:top w:val="none" w:sz="0" w:space="0" w:color="auto"/>
        <w:left w:val="none" w:sz="0" w:space="0" w:color="auto"/>
        <w:bottom w:val="none" w:sz="0" w:space="0" w:color="auto"/>
        <w:right w:val="none" w:sz="0" w:space="0" w:color="auto"/>
      </w:divBdr>
    </w:div>
    <w:div w:id="553977312">
      <w:bodyDiv w:val="1"/>
      <w:marLeft w:val="0"/>
      <w:marRight w:val="0"/>
      <w:marTop w:val="0"/>
      <w:marBottom w:val="0"/>
      <w:divBdr>
        <w:top w:val="none" w:sz="0" w:space="0" w:color="auto"/>
        <w:left w:val="none" w:sz="0" w:space="0" w:color="auto"/>
        <w:bottom w:val="none" w:sz="0" w:space="0" w:color="auto"/>
        <w:right w:val="none" w:sz="0" w:space="0" w:color="auto"/>
      </w:divBdr>
    </w:div>
    <w:div w:id="1021126312">
      <w:bodyDiv w:val="1"/>
      <w:marLeft w:val="0"/>
      <w:marRight w:val="0"/>
      <w:marTop w:val="0"/>
      <w:marBottom w:val="0"/>
      <w:divBdr>
        <w:top w:val="none" w:sz="0" w:space="0" w:color="auto"/>
        <w:left w:val="none" w:sz="0" w:space="0" w:color="auto"/>
        <w:bottom w:val="none" w:sz="0" w:space="0" w:color="auto"/>
        <w:right w:val="none" w:sz="0" w:space="0" w:color="auto"/>
      </w:divBdr>
    </w:div>
    <w:div w:id="1724676613">
      <w:bodyDiv w:val="1"/>
      <w:marLeft w:val="0"/>
      <w:marRight w:val="0"/>
      <w:marTop w:val="0"/>
      <w:marBottom w:val="0"/>
      <w:divBdr>
        <w:top w:val="none" w:sz="0" w:space="0" w:color="auto"/>
        <w:left w:val="none" w:sz="0" w:space="0" w:color="auto"/>
        <w:bottom w:val="none" w:sz="0" w:space="0" w:color="auto"/>
        <w:right w:val="none" w:sz="0" w:space="0" w:color="auto"/>
      </w:divBdr>
    </w:div>
    <w:div w:id="204304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es.wikipedia.org/wiki/Universidad_de_los_Llano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datos.gov.co/Educaci-n/MEN_ESTADISTICAS-MATRICULA-POR-MUNICIPIOS_ES/y9ga-zwzy" TargetMode="External"/><Relationship Id="rId2" Type="http://schemas.openxmlformats.org/officeDocument/2006/relationships/hyperlink" Target="https://www.datos.gov.co/Educaci-n/MEN_ESTADISTICAS-MATRICULA-POR-MUNICIPIOS_ES/y9ga-zwzy" TargetMode="External"/><Relationship Id="rId1" Type="http://schemas.openxmlformats.org/officeDocument/2006/relationships/hyperlink" Target="https://www.datos.gov.co/Educaci-n/MEN_ESTADISTICAS-MATRICULA-POR-MUNICIPIOS_ES/y9ga-zwzy" TargetMode="External"/><Relationship Id="rId5" Type="http://schemas.openxmlformats.org/officeDocument/2006/relationships/hyperlink" Target="https://semanarural.com/web/articulo/educacion-superior-en-el-meta-las-dificultades-para-que-jovenes-rurales-ingresen/320" TargetMode="External"/><Relationship Id="rId4" Type="http://schemas.openxmlformats.org/officeDocument/2006/relationships/hyperlink" Target="https://www.datos.gov.co/Educaci-n/MEN_ESTADISTICAS-MATRICULA-POR-MUNICIPIOS_ES/y9ga-zwzy"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Nathalie\Downloads\MEN_ESTADISTICAS_MATRICULA_POR_MUNICIPIOS_ES.csv"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MEN_ESTADISTICAS_MATRICULA_POR_!$E$3877</c:f>
              <c:strCache>
                <c:ptCount val="1"/>
                <c:pt idx="0">
                  <c:v>Villavicencio</c:v>
                </c:pt>
              </c:strCache>
            </c:strRef>
          </c:tx>
          <c:spPr>
            <a:solidFill>
              <a:schemeClr val="accent1"/>
            </a:solidFill>
            <a:ln>
              <a:noFill/>
            </a:ln>
            <a:effectLst/>
          </c:spPr>
          <c:invertIfNegative val="0"/>
          <c:cat>
            <c:strRef>
              <c:f>MEN_ESTADISTICAS_MATRICULA_POR_!$A$4023</c:f>
              <c:strCache>
                <c:ptCount val="1"/>
                <c:pt idx="0">
                  <c:v>Número de Estudiantes de Educación Superior Matriculados en Ciudades Capitales de la Orinoquía en 2016</c:v>
                </c:pt>
              </c:strCache>
            </c:strRef>
          </c:cat>
          <c:val>
            <c:numRef>
              <c:f>MEN_ESTADISTICAS_MATRICULA_POR_!$L$3877</c:f>
              <c:numCache>
                <c:formatCode>General</c:formatCode>
                <c:ptCount val="1"/>
                <c:pt idx="0">
                  <c:v>30416</c:v>
                </c:pt>
              </c:numCache>
            </c:numRef>
          </c:val>
          <c:extLst>
            <c:ext xmlns:c16="http://schemas.microsoft.com/office/drawing/2014/chart" uri="{C3380CC4-5D6E-409C-BE32-E72D297353CC}">
              <c16:uniqueId val="{00000000-2023-43C3-9372-5EFCF7723C20}"/>
            </c:ext>
          </c:extLst>
        </c:ser>
        <c:ser>
          <c:idx val="1"/>
          <c:order val="1"/>
          <c:tx>
            <c:strRef>
              <c:f>MEN_ESTADISTICAS_MATRICULA_POR_!$E$4003</c:f>
              <c:strCache>
                <c:ptCount val="1"/>
                <c:pt idx="0">
                  <c:v>Yopal</c:v>
                </c:pt>
              </c:strCache>
            </c:strRef>
          </c:tx>
          <c:spPr>
            <a:solidFill>
              <a:schemeClr val="accent2"/>
            </a:solidFill>
            <a:ln>
              <a:noFill/>
            </a:ln>
            <a:effectLst/>
          </c:spPr>
          <c:invertIfNegative val="0"/>
          <c:cat>
            <c:strRef>
              <c:f>MEN_ESTADISTICAS_MATRICULA_POR_!$A$4023</c:f>
              <c:strCache>
                <c:ptCount val="1"/>
                <c:pt idx="0">
                  <c:v>Número de Estudiantes de Educación Superior Matriculados en Ciudades Capitales de la Orinoquía en 2016</c:v>
                </c:pt>
              </c:strCache>
            </c:strRef>
          </c:cat>
          <c:val>
            <c:numRef>
              <c:f>MEN_ESTADISTICAS_MATRICULA_POR_!$L$4003</c:f>
              <c:numCache>
                <c:formatCode>General</c:formatCode>
                <c:ptCount val="1"/>
                <c:pt idx="0">
                  <c:v>9291</c:v>
                </c:pt>
              </c:numCache>
            </c:numRef>
          </c:val>
          <c:extLst>
            <c:ext xmlns:c16="http://schemas.microsoft.com/office/drawing/2014/chart" uri="{C3380CC4-5D6E-409C-BE32-E72D297353CC}">
              <c16:uniqueId val="{00000001-2023-43C3-9372-5EFCF7723C20}"/>
            </c:ext>
          </c:extLst>
        </c:ser>
        <c:ser>
          <c:idx val="2"/>
          <c:order val="2"/>
          <c:tx>
            <c:strRef>
              <c:f>MEN_ESTADISTICAS_MATRICULA_POR_!$E$4000</c:f>
              <c:strCache>
                <c:ptCount val="1"/>
                <c:pt idx="0">
                  <c:v>Arauca</c:v>
                </c:pt>
              </c:strCache>
            </c:strRef>
          </c:tx>
          <c:spPr>
            <a:solidFill>
              <a:schemeClr val="accent3"/>
            </a:solidFill>
            <a:ln>
              <a:noFill/>
            </a:ln>
            <a:effectLst/>
          </c:spPr>
          <c:invertIfNegative val="0"/>
          <c:cat>
            <c:strRef>
              <c:f>MEN_ESTADISTICAS_MATRICULA_POR_!$A$4023</c:f>
              <c:strCache>
                <c:ptCount val="1"/>
                <c:pt idx="0">
                  <c:v>Número de Estudiantes de Educación Superior Matriculados en Ciudades Capitales de la Orinoquía en 2016</c:v>
                </c:pt>
              </c:strCache>
            </c:strRef>
          </c:cat>
          <c:val>
            <c:numRef>
              <c:f>MEN_ESTADISTICAS_MATRICULA_POR_!$L$4000</c:f>
              <c:numCache>
                <c:formatCode>General</c:formatCode>
                <c:ptCount val="1"/>
                <c:pt idx="0">
                  <c:v>2631</c:v>
                </c:pt>
              </c:numCache>
            </c:numRef>
          </c:val>
          <c:extLst>
            <c:ext xmlns:c16="http://schemas.microsoft.com/office/drawing/2014/chart" uri="{C3380CC4-5D6E-409C-BE32-E72D297353CC}">
              <c16:uniqueId val="{00000002-2023-43C3-9372-5EFCF7723C20}"/>
            </c:ext>
          </c:extLst>
        </c:ser>
        <c:ser>
          <c:idx val="3"/>
          <c:order val="3"/>
          <c:tx>
            <c:strRef>
              <c:f>MEN_ESTADISTICAS_MATRICULA_POR_!$E$4021</c:f>
              <c:strCache>
                <c:ptCount val="1"/>
                <c:pt idx="0">
                  <c:v>San José del Guaviare</c:v>
                </c:pt>
              </c:strCache>
            </c:strRef>
          </c:tx>
          <c:spPr>
            <a:solidFill>
              <a:schemeClr val="accent4"/>
            </a:solidFill>
            <a:ln>
              <a:noFill/>
            </a:ln>
            <a:effectLst/>
          </c:spPr>
          <c:invertIfNegative val="0"/>
          <c:cat>
            <c:strRef>
              <c:f>MEN_ESTADISTICAS_MATRICULA_POR_!$A$4023</c:f>
              <c:strCache>
                <c:ptCount val="1"/>
                <c:pt idx="0">
                  <c:v>Número de Estudiantes de Educación Superior Matriculados en Ciudades Capitales de la Orinoquía en 2016</c:v>
                </c:pt>
              </c:strCache>
            </c:strRef>
          </c:cat>
          <c:val>
            <c:numRef>
              <c:f>MEN_ESTADISTICAS_MATRICULA_POR_!$L$4021</c:f>
              <c:numCache>
                <c:formatCode>General</c:formatCode>
                <c:ptCount val="1"/>
                <c:pt idx="0">
                  <c:v>2112</c:v>
                </c:pt>
              </c:numCache>
            </c:numRef>
          </c:val>
          <c:extLst>
            <c:ext xmlns:c16="http://schemas.microsoft.com/office/drawing/2014/chart" uri="{C3380CC4-5D6E-409C-BE32-E72D297353CC}">
              <c16:uniqueId val="{00000003-2023-43C3-9372-5EFCF7723C20}"/>
            </c:ext>
          </c:extLst>
        </c:ser>
        <c:ser>
          <c:idx val="4"/>
          <c:order val="4"/>
          <c:tx>
            <c:strRef>
              <c:f>MEN_ESTADISTICAS_MATRICULA_POR_!$E$4023</c:f>
              <c:strCache>
                <c:ptCount val="1"/>
                <c:pt idx="0">
                  <c:v>Puerto Carreño</c:v>
                </c:pt>
              </c:strCache>
            </c:strRef>
          </c:tx>
          <c:spPr>
            <a:solidFill>
              <a:schemeClr val="accent5"/>
            </a:solidFill>
            <a:ln>
              <a:noFill/>
            </a:ln>
            <a:effectLst/>
          </c:spPr>
          <c:invertIfNegative val="0"/>
          <c:cat>
            <c:strRef>
              <c:f>MEN_ESTADISTICAS_MATRICULA_POR_!$A$4023</c:f>
              <c:strCache>
                <c:ptCount val="1"/>
                <c:pt idx="0">
                  <c:v>Número de Estudiantes de Educación Superior Matriculados en Ciudades Capitales de la Orinoquía en 2016</c:v>
                </c:pt>
              </c:strCache>
            </c:strRef>
          </c:cat>
          <c:val>
            <c:numRef>
              <c:f>MEN_ESTADISTICAS_MATRICULA_POR_!$L$4023</c:f>
              <c:numCache>
                <c:formatCode>General</c:formatCode>
                <c:ptCount val="1"/>
                <c:pt idx="0">
                  <c:v>908</c:v>
                </c:pt>
              </c:numCache>
            </c:numRef>
          </c:val>
          <c:extLst>
            <c:ext xmlns:c16="http://schemas.microsoft.com/office/drawing/2014/chart" uri="{C3380CC4-5D6E-409C-BE32-E72D297353CC}">
              <c16:uniqueId val="{00000004-2023-43C3-9372-5EFCF7723C20}"/>
            </c:ext>
          </c:extLst>
        </c:ser>
        <c:ser>
          <c:idx val="5"/>
          <c:order val="5"/>
          <c:tx>
            <c:strRef>
              <c:f>MEN_ESTADISTICAS_MATRICULA_POR_!$E$4020</c:f>
              <c:strCache>
                <c:ptCount val="1"/>
                <c:pt idx="0">
                  <c:v>Puerto Inírida</c:v>
                </c:pt>
              </c:strCache>
            </c:strRef>
          </c:tx>
          <c:spPr>
            <a:solidFill>
              <a:schemeClr val="accent6"/>
            </a:solidFill>
            <a:ln>
              <a:noFill/>
            </a:ln>
            <a:effectLst/>
          </c:spPr>
          <c:invertIfNegative val="0"/>
          <c:cat>
            <c:strRef>
              <c:f>MEN_ESTADISTICAS_MATRICULA_POR_!$A$4023</c:f>
              <c:strCache>
                <c:ptCount val="1"/>
                <c:pt idx="0">
                  <c:v>Número de Estudiantes de Educación Superior Matriculados en Ciudades Capitales de la Orinoquía en 2016</c:v>
                </c:pt>
              </c:strCache>
            </c:strRef>
          </c:cat>
          <c:val>
            <c:numRef>
              <c:f>MEN_ESTADISTICAS_MATRICULA_POR_!$L$4020</c:f>
              <c:numCache>
                <c:formatCode>General</c:formatCode>
                <c:ptCount val="1"/>
                <c:pt idx="0">
                  <c:v>609</c:v>
                </c:pt>
              </c:numCache>
            </c:numRef>
          </c:val>
          <c:extLst>
            <c:ext xmlns:c16="http://schemas.microsoft.com/office/drawing/2014/chart" uri="{C3380CC4-5D6E-409C-BE32-E72D297353CC}">
              <c16:uniqueId val="{00000005-2023-43C3-9372-5EFCF7723C20}"/>
            </c:ext>
          </c:extLst>
        </c:ser>
        <c:ser>
          <c:idx val="6"/>
          <c:order val="6"/>
          <c:tx>
            <c:strRef>
              <c:f>MEN_ESTADISTICAS_MATRICULA_POR_!$E$4022</c:f>
              <c:strCache>
                <c:ptCount val="1"/>
                <c:pt idx="0">
                  <c:v>Mitú</c:v>
                </c:pt>
              </c:strCache>
            </c:strRef>
          </c:tx>
          <c:spPr>
            <a:solidFill>
              <a:schemeClr val="accent1">
                <a:lumMod val="60000"/>
              </a:schemeClr>
            </a:solidFill>
            <a:ln>
              <a:noFill/>
            </a:ln>
            <a:effectLst/>
          </c:spPr>
          <c:invertIfNegative val="0"/>
          <c:cat>
            <c:strRef>
              <c:f>MEN_ESTADISTICAS_MATRICULA_POR_!$A$4023</c:f>
              <c:strCache>
                <c:ptCount val="1"/>
                <c:pt idx="0">
                  <c:v>Número de Estudiantes de Educación Superior Matriculados en Ciudades Capitales de la Orinoquía en 2016</c:v>
                </c:pt>
              </c:strCache>
            </c:strRef>
          </c:cat>
          <c:val>
            <c:numRef>
              <c:f>MEN_ESTADISTICAS_MATRICULA_POR_!$L$4022</c:f>
              <c:numCache>
                <c:formatCode>General</c:formatCode>
                <c:ptCount val="1"/>
                <c:pt idx="0">
                  <c:v>218</c:v>
                </c:pt>
              </c:numCache>
            </c:numRef>
          </c:val>
          <c:extLst>
            <c:ext xmlns:c16="http://schemas.microsoft.com/office/drawing/2014/chart" uri="{C3380CC4-5D6E-409C-BE32-E72D297353CC}">
              <c16:uniqueId val="{00000006-2023-43C3-9372-5EFCF7723C20}"/>
            </c:ext>
          </c:extLst>
        </c:ser>
        <c:dLbls>
          <c:showLegendKey val="0"/>
          <c:showVal val="0"/>
          <c:showCatName val="0"/>
          <c:showSerName val="0"/>
          <c:showPercent val="0"/>
          <c:showBubbleSize val="0"/>
        </c:dLbls>
        <c:gapWidth val="219"/>
        <c:overlap val="-27"/>
        <c:axId val="2143829912"/>
        <c:axId val="2143943544"/>
      </c:barChart>
      <c:catAx>
        <c:axId val="2143829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143943544"/>
        <c:crosses val="autoZero"/>
        <c:auto val="1"/>
        <c:lblAlgn val="ctr"/>
        <c:lblOffset val="100"/>
        <c:noMultiLvlLbl val="0"/>
      </c:catAx>
      <c:valAx>
        <c:axId val="2143943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1438299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1F4B7-15B5-4C3C-A951-760D776C5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10</Pages>
  <Words>2488</Words>
  <Characters>13687</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blancacorrea</dc:creator>
  <cp:keywords/>
  <dc:description/>
  <cp:lastModifiedBy>edgar.jara</cp:lastModifiedBy>
  <cp:revision>4</cp:revision>
  <cp:lastPrinted>2019-08-20T20:00:00Z</cp:lastPrinted>
  <dcterms:created xsi:type="dcterms:W3CDTF">2019-08-20T16:15:00Z</dcterms:created>
  <dcterms:modified xsi:type="dcterms:W3CDTF">2019-08-20T20:00:00Z</dcterms:modified>
</cp:coreProperties>
</file>